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5DF5B">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501F47EA">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4A031415">
      <w:pPr>
        <w:keepNext w:val="0"/>
        <w:keepLines w:val="0"/>
        <w:pageBreakBefore w:val="0"/>
        <w:widowControl w:val="0"/>
        <w:suppressLineNumbers w:val="0"/>
        <w:kinsoku/>
        <w:wordWrap/>
        <w:overflowPunct w:val="0"/>
        <w:topLinePunct/>
        <w:autoSpaceDE/>
        <w:autoSpaceDN/>
        <w:bidi w:val="0"/>
        <w:adjustRightInd w:val="0"/>
        <w:snapToGrid w:val="0"/>
        <w:spacing w:line="590" w:lineRule="exact"/>
        <w:ind w:left="0" w:leftChars="0" w:firstLine="0" w:firstLineChars="0"/>
        <w:jc w:val="center"/>
        <w:textAlignment w:val="auto"/>
        <w:outlineLvl w:val="0"/>
        <w:rPr>
          <w:rFonts w:hint="default" w:ascii="Times New Roman" w:hAnsi="Times New Roman" w:eastAsia="方正小标宋_GBK" w:cs="Times New Roman"/>
          <w:color w:val="auto"/>
          <w:kern w:val="0"/>
          <w:sz w:val="44"/>
          <w:szCs w:val="44"/>
          <w:u w:val="none"/>
          <w:lang w:val="en-US" w:eastAsia="zh-CN" w:bidi="ar"/>
        </w:rPr>
      </w:pPr>
      <w:r>
        <w:rPr>
          <w:rFonts w:hint="default" w:ascii="Times New Roman" w:hAnsi="Times New Roman" w:eastAsia="方正小标宋_GBK" w:cs="Times New Roman"/>
          <w:color w:val="auto"/>
          <w:kern w:val="0"/>
          <w:sz w:val="44"/>
          <w:szCs w:val="44"/>
          <w:u w:val="none"/>
          <w:lang w:val="en-US" w:eastAsia="zh-CN" w:bidi="ar"/>
        </w:rPr>
        <w:t>关于印发《黄山市网络预约出租汽车平台企业</w:t>
      </w:r>
    </w:p>
    <w:p w14:paraId="7D024AFF">
      <w:pPr>
        <w:keepNext w:val="0"/>
        <w:keepLines w:val="0"/>
        <w:pageBreakBefore w:val="0"/>
        <w:widowControl w:val="0"/>
        <w:suppressLineNumbers w:val="0"/>
        <w:kinsoku/>
        <w:wordWrap/>
        <w:overflowPunct w:val="0"/>
        <w:topLinePunct/>
        <w:autoSpaceDE/>
        <w:autoSpaceDN/>
        <w:bidi w:val="0"/>
        <w:adjustRightInd w:val="0"/>
        <w:snapToGrid w:val="0"/>
        <w:spacing w:line="590" w:lineRule="exact"/>
        <w:ind w:left="0" w:leftChars="0" w:firstLine="0" w:firstLineChars="0"/>
        <w:jc w:val="center"/>
        <w:textAlignment w:val="auto"/>
        <w:outlineLvl w:val="0"/>
        <w:rPr>
          <w:rFonts w:hint="default" w:ascii="Times New Roman" w:hAnsi="Times New Roman" w:eastAsia="方正小标宋_GBK" w:cs="Times New Roman"/>
          <w:color w:val="auto"/>
          <w:kern w:val="0"/>
          <w:sz w:val="44"/>
          <w:szCs w:val="44"/>
          <w:u w:val="none"/>
          <w:lang w:val="en-US" w:eastAsia="zh-CN" w:bidi="ar"/>
        </w:rPr>
      </w:pPr>
      <w:r>
        <w:rPr>
          <w:rFonts w:hint="default" w:ascii="Times New Roman" w:hAnsi="Times New Roman" w:eastAsia="方正小标宋_GBK" w:cs="Times New Roman"/>
          <w:color w:val="auto"/>
          <w:kern w:val="0"/>
          <w:sz w:val="44"/>
          <w:szCs w:val="44"/>
          <w:u w:val="none"/>
          <w:lang w:val="en-US" w:eastAsia="zh-CN" w:bidi="ar"/>
        </w:rPr>
        <w:t>信用分类监管办法（试行）》的通知</w:t>
      </w:r>
    </w:p>
    <w:p w14:paraId="21CD5172">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sz w:val="32"/>
          <w:szCs w:val="32"/>
          <w:lang w:eastAsia="zh-CN"/>
        </w:rPr>
        <w:t>黄交运〔20</w:t>
      </w:r>
      <w:r>
        <w:rPr>
          <w:rFonts w:hint="eastAsia" w:ascii="Times New Roman" w:hAnsi="Times New Roman" w:eastAsia="方正仿宋_GBK" w:cs="Times New Roman"/>
          <w:sz w:val="32"/>
          <w:szCs w:val="32"/>
          <w:lang w:val="en-US" w:eastAsia="zh-CN"/>
        </w:rPr>
        <w:t>25</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号</w:t>
      </w:r>
    </w:p>
    <w:p w14:paraId="368086BF">
      <w:pPr>
        <w:pStyle w:val="2"/>
        <w:rPr>
          <w:rFonts w:hint="default" w:ascii="Times New Roman" w:hAnsi="Times New Roman" w:cs="Times New Roman"/>
        </w:rPr>
      </w:pPr>
    </w:p>
    <w:p w14:paraId="4B31F005">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市道路运输管理服务中心，市交通运输综合行政执法支队，局机关有关科室：</w:t>
      </w:r>
    </w:p>
    <w:p w14:paraId="394A3948">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　　《黄山市网络预约出租汽车平台企业信用分类监管办法（试行）》已经2024年度第12次局长办公会审议通过，现印发给你们，请认真组织实施。</w:t>
      </w:r>
    </w:p>
    <w:p w14:paraId="0D8075A3">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val="en-US" w:eastAsia="zh-CN"/>
        </w:rPr>
      </w:pPr>
    </w:p>
    <w:p w14:paraId="2BD353D1">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val="en-US" w:eastAsia="zh-CN"/>
        </w:rPr>
      </w:pPr>
    </w:p>
    <w:p w14:paraId="4A852F9D">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val="en-US" w:eastAsia="zh-CN"/>
        </w:rPr>
      </w:pPr>
    </w:p>
    <w:p w14:paraId="3BF9E191">
      <w:pPr>
        <w:keepNext w:val="0"/>
        <w:keepLines w:val="0"/>
        <w:pageBreakBefore w:val="0"/>
        <w:widowControl w:val="0"/>
        <w:kinsoku/>
        <w:wordWrap/>
        <w:overflowPunct w:val="0"/>
        <w:topLinePunct w:val="0"/>
        <w:autoSpaceDE/>
        <w:autoSpaceDN/>
        <w:bidi w:val="0"/>
        <w:adjustRightInd w:val="0"/>
        <w:snapToGrid w:val="0"/>
        <w:spacing w:line="590" w:lineRule="exact"/>
        <w:ind w:right="645" w:rightChars="307" w:firstLine="0" w:firstLineChars="0"/>
        <w:contextualSpacing/>
        <w:jc w:val="right"/>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napToGrid w:val="0"/>
          <w:color w:val="000000"/>
          <w:spacing w:val="6"/>
          <w:kern w:val="0"/>
          <w:sz w:val="32"/>
          <w:szCs w:val="32"/>
          <w:lang w:val="en-US" w:eastAsia="zh-CN"/>
        </w:rPr>
        <w:t>黄山市交通运输局</w:t>
      </w:r>
    </w:p>
    <w:p w14:paraId="7484B1F6">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center"/>
        <w:textAlignment w:val="auto"/>
        <w:rPr>
          <w:rFonts w:hint="default" w:ascii="Times New Roman" w:hAnsi="Times New Roman" w:eastAsia="方正仿宋_GBK" w:cs="Times New Roman"/>
          <w:spacing w:val="6"/>
          <w:sz w:val="32"/>
          <w:szCs w:val="32"/>
          <w:lang w:val="en-US" w:eastAsia="zh-CN"/>
        </w:rPr>
      </w:pPr>
      <w:r>
        <w:rPr>
          <w:rFonts w:hint="eastAsia" w:ascii="Times New Roman" w:hAnsi="Times New Roman" w:eastAsia="方正仿宋_GBK" w:cs="Times New Roman"/>
          <w:spacing w:val="6"/>
          <w:sz w:val="32"/>
          <w:szCs w:val="32"/>
          <w:lang w:val="en-US" w:eastAsia="zh-CN"/>
        </w:rPr>
        <w:t xml:space="preserve">                             </w:t>
      </w:r>
      <w:r>
        <w:rPr>
          <w:rFonts w:hint="default" w:ascii="Times New Roman" w:hAnsi="Times New Roman" w:eastAsia="方正仿宋_GBK" w:cs="Times New Roman"/>
          <w:spacing w:val="6"/>
          <w:sz w:val="32"/>
          <w:szCs w:val="32"/>
          <w:lang w:val="en-US" w:eastAsia="zh-CN"/>
        </w:rPr>
        <w:t>2025年</w:t>
      </w:r>
      <w:r>
        <w:rPr>
          <w:rFonts w:hint="eastAsia" w:ascii="Times New Roman" w:hAnsi="Times New Roman" w:eastAsia="方正仿宋_GBK" w:cs="Times New Roman"/>
          <w:spacing w:val="6"/>
          <w:sz w:val="32"/>
          <w:szCs w:val="32"/>
          <w:lang w:val="en-US" w:eastAsia="zh-CN"/>
        </w:rPr>
        <w:t>1</w:t>
      </w:r>
      <w:r>
        <w:rPr>
          <w:rFonts w:hint="default" w:ascii="Times New Roman" w:hAnsi="Times New Roman" w:eastAsia="方正仿宋_GBK" w:cs="Times New Roman"/>
          <w:spacing w:val="6"/>
          <w:sz w:val="32"/>
          <w:szCs w:val="32"/>
          <w:lang w:val="en-US" w:eastAsia="zh-CN"/>
        </w:rPr>
        <w:t>月</w:t>
      </w:r>
      <w:r>
        <w:rPr>
          <w:rFonts w:hint="eastAsia" w:ascii="Times New Roman" w:hAnsi="Times New Roman" w:eastAsia="方正仿宋_GBK" w:cs="Times New Roman"/>
          <w:spacing w:val="6"/>
          <w:sz w:val="32"/>
          <w:szCs w:val="32"/>
          <w:lang w:val="en-US" w:eastAsia="zh-CN"/>
        </w:rPr>
        <w:t>10</w:t>
      </w:r>
      <w:r>
        <w:rPr>
          <w:rFonts w:hint="default" w:ascii="Times New Roman" w:hAnsi="Times New Roman" w:eastAsia="方正仿宋_GBK" w:cs="Times New Roman"/>
          <w:spacing w:val="6"/>
          <w:sz w:val="32"/>
          <w:szCs w:val="32"/>
          <w:lang w:val="en-US" w:eastAsia="zh-CN"/>
        </w:rPr>
        <w:t>日　　　　</w:t>
      </w:r>
    </w:p>
    <w:p w14:paraId="15375BB6">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eastAsia" w:ascii="Times New Roman" w:hAnsi="Times New Roman" w:eastAsia="方正仿宋_GBK" w:cs="Times New Roman"/>
          <w:spacing w:val="6"/>
          <w:sz w:val="32"/>
          <w:szCs w:val="32"/>
          <w:lang w:val="en-US" w:eastAsia="zh-CN"/>
        </w:rPr>
      </w:pPr>
    </w:p>
    <w:p w14:paraId="663605CD">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p>
    <w:p w14:paraId="36952399">
      <w:pPr>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br w:type="page"/>
      </w:r>
    </w:p>
    <w:p w14:paraId="6803C6AD">
      <w:pPr>
        <w:pStyle w:val="2"/>
        <w:rPr>
          <w:rFonts w:hint="default"/>
          <w:lang w:val="en-US" w:eastAsia="zh-CN"/>
        </w:rPr>
      </w:pPr>
    </w:p>
    <w:p w14:paraId="03EE391B">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center"/>
        <w:textAlignment w:val="auto"/>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黄山市网络预约出租汽车平台企业</w:t>
      </w:r>
    </w:p>
    <w:p w14:paraId="6ADEBA60">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center"/>
        <w:textAlignment w:val="auto"/>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信用分类监管办法（试行）</w:t>
      </w:r>
    </w:p>
    <w:p w14:paraId="21998153">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val="en-US" w:eastAsia="zh-CN"/>
        </w:rPr>
      </w:pPr>
    </w:p>
    <w:p w14:paraId="69986AF3">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center"/>
        <w:textAlignment w:val="auto"/>
        <w:rPr>
          <w:rFonts w:hint="eastAsia" w:ascii="方正黑体_GBK" w:hAnsi="方正黑体_GBK" w:eastAsia="方正黑体_GBK" w:cs="方正黑体_GBK"/>
          <w:spacing w:val="6"/>
          <w:sz w:val="32"/>
          <w:szCs w:val="32"/>
          <w:lang w:val="en-US" w:eastAsia="zh-CN"/>
        </w:rPr>
      </w:pPr>
      <w:r>
        <w:rPr>
          <w:rFonts w:hint="eastAsia" w:ascii="方正黑体_GBK" w:hAnsi="方正黑体_GBK" w:eastAsia="方正黑体_GBK" w:cs="方正黑体_GBK"/>
          <w:spacing w:val="6"/>
          <w:sz w:val="32"/>
          <w:szCs w:val="32"/>
          <w:lang w:val="en-US" w:eastAsia="zh-CN"/>
        </w:rPr>
        <w:t>第一章　总　　则</w:t>
      </w:r>
    </w:p>
    <w:p w14:paraId="0F922756">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方正黑体_GBK" w:hAnsi="方正黑体_GBK" w:eastAsia="方正黑体_GBK" w:cs="方正黑体_GBK"/>
          <w:spacing w:val="6"/>
          <w:sz w:val="32"/>
          <w:szCs w:val="32"/>
          <w:lang w:val="en-US" w:eastAsia="zh-CN"/>
        </w:rPr>
        <w:t>第一条</w:t>
      </w:r>
      <w:r>
        <w:rPr>
          <w:rFonts w:hint="default" w:ascii="Times New Roman" w:hAnsi="Times New Roman" w:eastAsia="方正仿宋_GBK" w:cs="Times New Roman"/>
          <w:spacing w:val="6"/>
          <w:sz w:val="32"/>
          <w:szCs w:val="32"/>
          <w:lang w:val="en-US" w:eastAsia="zh-CN"/>
        </w:rPr>
        <w:t>　为加强网络预约出租汽车（以下简称网约车）行业全链条监管，维护市场公平竞争秩序，保障乘客和驾驶员合法权益，促进网约车行业规范健康持续发展，更好满足人民群众出行需求，根据《电子商务法》《网络预约出租汽车经营服务管理暂行办法》《出租汽车服务质量信誉考核办法》《关于加强交通运输行业信用体系建设的若干意见》《黄山市网络预约出租汽车平台公司线下服务能力评价指南》等规定，结合实际，制定本办法。</w:t>
      </w:r>
    </w:p>
    <w:p w14:paraId="7F3B6D2E">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方正黑体_GBK" w:hAnsi="方正黑体_GBK" w:eastAsia="方正黑体_GBK" w:cs="方正黑体_GBK"/>
          <w:spacing w:val="6"/>
          <w:sz w:val="32"/>
          <w:szCs w:val="32"/>
          <w:lang w:val="en-US" w:eastAsia="zh-CN"/>
        </w:rPr>
        <w:t>第二条</w:t>
      </w:r>
      <w:r>
        <w:rPr>
          <w:rFonts w:hint="default" w:ascii="Times New Roman" w:hAnsi="Times New Roman" w:eastAsia="方正仿宋_GBK" w:cs="Times New Roman"/>
          <w:spacing w:val="6"/>
          <w:sz w:val="32"/>
          <w:szCs w:val="32"/>
          <w:lang w:val="en-US" w:eastAsia="zh-CN"/>
        </w:rPr>
        <w:t>　本办法所称的信用分类监管，是指交通运输主管部门在考核周期内对网约车平台企业管理、安全运营、信息数据、运营服务等方面进行综合考评，并依据信用评级情况采取守信激励或失信惩戒措施。</w:t>
      </w:r>
    </w:p>
    <w:p w14:paraId="56303223">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第三条</w:t>
      </w:r>
      <w:r>
        <w:rPr>
          <w:rFonts w:hint="default" w:ascii="Times New Roman" w:hAnsi="Times New Roman" w:eastAsia="方正仿宋_GBK" w:cs="Times New Roman"/>
          <w:spacing w:val="6"/>
          <w:sz w:val="32"/>
          <w:szCs w:val="32"/>
          <w:lang w:val="en-US" w:eastAsia="zh-CN"/>
        </w:rPr>
        <w:t>　本办法适用于在本市取得许可的网约车平台企业及其线下服务机构、本市内提供服务的网约车聚合平台。</w:t>
      </w:r>
    </w:p>
    <w:p w14:paraId="10E03EBB">
      <w:pPr>
        <w:keepNext w:val="0"/>
        <w:keepLines w:val="0"/>
        <w:pageBreakBefore w:val="0"/>
        <w:widowControl w:val="0"/>
        <w:kinsoku/>
        <w:wordWrap/>
        <w:overflowPunct w:val="0"/>
        <w:topLinePunct w:val="0"/>
        <w:autoSpaceDE/>
        <w:autoSpaceDN/>
        <w:bidi w:val="0"/>
        <w:adjustRightInd w:val="0"/>
        <w:snapToGrid w:val="0"/>
        <w:spacing w:line="590" w:lineRule="exact"/>
        <w:contextualSpacing/>
        <w:jc w:val="center"/>
        <w:textAlignment w:val="auto"/>
        <w:rPr>
          <w:rFonts w:hint="default" w:ascii="方正黑体_GBK" w:hAnsi="方正黑体_GBK" w:eastAsia="方正黑体_GBK" w:cs="方正黑体_GBK"/>
          <w:spacing w:val="6"/>
          <w:sz w:val="32"/>
          <w:szCs w:val="32"/>
          <w:lang w:val="en-US" w:eastAsia="zh-CN"/>
        </w:rPr>
      </w:pPr>
      <w:r>
        <w:rPr>
          <w:rFonts w:hint="default" w:ascii="方正黑体_GBK" w:hAnsi="方正黑体_GBK" w:eastAsia="方正黑体_GBK" w:cs="方正黑体_GBK"/>
          <w:spacing w:val="6"/>
          <w:sz w:val="32"/>
          <w:szCs w:val="32"/>
          <w:lang w:val="en-US" w:eastAsia="zh-CN"/>
        </w:rPr>
        <w:t>第二章　信用考核等级评定</w:t>
      </w:r>
    </w:p>
    <w:p w14:paraId="36BC4F0B">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第四条</w:t>
      </w:r>
      <w:r>
        <w:rPr>
          <w:rFonts w:hint="default" w:ascii="Times New Roman" w:hAnsi="Times New Roman" w:eastAsia="方正仿宋_GBK" w:cs="Times New Roman"/>
          <w:spacing w:val="6"/>
          <w:sz w:val="32"/>
          <w:szCs w:val="32"/>
          <w:lang w:val="en-US" w:eastAsia="zh-CN"/>
        </w:rPr>
        <w:t>　网约车平台企业信用考核实行计分制，基准分值为100分，其中企业管理指标为15分、安全运营指标为25分、信息数据指标为35分、运营服务指标为25分。另外加分项指标分值为10分，社会责任指标为一票制。具体计分办法见《黄山市网络预约出租汽车平台企业信用考核评定指标》（详见附件1）。</w:t>
      </w:r>
    </w:p>
    <w:p w14:paraId="70B4DB65">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第五条</w:t>
      </w:r>
      <w:r>
        <w:rPr>
          <w:rFonts w:hint="default" w:ascii="Times New Roman" w:hAnsi="Times New Roman" w:eastAsia="方正仿宋_GBK" w:cs="Times New Roman"/>
          <w:spacing w:val="6"/>
          <w:sz w:val="32"/>
          <w:szCs w:val="32"/>
          <w:lang w:val="en-US" w:eastAsia="zh-CN"/>
        </w:rPr>
        <w:t>　网约车平台企业信用考核等级分为AA级（优秀）、A级（良好）、B级（合格）、C级（较差）、D级（差）五个等级。由市交通运输局按照以下标准评定：</w:t>
      </w:r>
    </w:p>
    <w:p w14:paraId="50A4EC31">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（一）评定周期内综合得分90分及以上，周期内未发生一般事故等级（不含本级，下同）以上的交通责任事故，未发生特大恶性服务质量事件，考核等级为AA级；</w:t>
      </w:r>
    </w:p>
    <w:p w14:paraId="4A64B641">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（二）评定周期内综合得分80～90分（含80分，下同），周期内未发生一般事故等级以上的交通责任事故，未发生特大恶性服务质量事件，考核等级为A级；</w:t>
      </w:r>
    </w:p>
    <w:p w14:paraId="343BE0DA">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（三）评定周期内综合得分70～80分，周期内未发生一般事故等级以上的交通责任事故，未发生特大恶性服务质量事件，考核等级为B级；</w:t>
      </w:r>
    </w:p>
    <w:p w14:paraId="540D185D">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（四）评定周期内综合得分60～70分，周期内未发生一般事故等级以上的交通责任事故，未发生特大恶性服务质量事件，为C级；</w:t>
      </w:r>
    </w:p>
    <w:p w14:paraId="447ABAA8">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（五）评定周期内有下列情形之一的，评定为D级：</w:t>
      </w:r>
    </w:p>
    <w:p w14:paraId="027962AA">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1.综合得分60分以下；</w:t>
      </w:r>
    </w:p>
    <w:p w14:paraId="2DFABBCF">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 xml:space="preserve">2.因管理责任，引发驾驶员不稳定，影响社会公共秩序、损害社会公共利益的群体性事件； </w:t>
      </w:r>
    </w:p>
    <w:p w14:paraId="2798CCCE">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3.发生较大事故等级（含本级）以上的交通责任事故的；</w:t>
      </w:r>
    </w:p>
    <w:p w14:paraId="27774466">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4.发生一次恶性服务质量事件的。恶性服务质量事件是指由于网约车平台企业或使用其互联网应用程序（APP）运营的从业人员原因，造成严重人身伤害或重大财产损失，或在社会造成恶劣影响的服务质量事件；</w:t>
      </w:r>
    </w:p>
    <w:p w14:paraId="22D6AE28">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5.被交通运输主管部门约谈两次以上未整改或者整改不到位的；</w:t>
      </w:r>
    </w:p>
    <w:p w14:paraId="48FBB7E2">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6.在信用考核过程中弄虚作假、隐瞒实情或提供虚假材料，情节严重的；</w:t>
      </w:r>
    </w:p>
    <w:p w14:paraId="0856463B">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7.有其他严重违反法律法规规定行为的。</w:t>
      </w:r>
    </w:p>
    <w:p w14:paraId="2A38910F">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第六条</w:t>
      </w:r>
      <w:r>
        <w:rPr>
          <w:rFonts w:hint="default" w:ascii="Times New Roman" w:hAnsi="Times New Roman" w:eastAsia="方正仿宋_GBK" w:cs="Times New Roman"/>
          <w:spacing w:val="6"/>
          <w:sz w:val="32"/>
          <w:szCs w:val="32"/>
          <w:lang w:val="en-US" w:eastAsia="zh-CN"/>
        </w:rPr>
        <w:t>　信用考核每半年一个周期,考核周期为每年的1月1日至6月30日，7月1日至12月31日。已取得《网络预约出租汽车经营许可证》，但无自营车辆且未在本市开展互联网业务的平台企业，不参加信用考核。</w:t>
      </w:r>
    </w:p>
    <w:p w14:paraId="6B99E7ED">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第七条　</w:t>
      </w:r>
      <w:r>
        <w:rPr>
          <w:rFonts w:hint="default" w:ascii="Times New Roman" w:hAnsi="Times New Roman" w:eastAsia="方正仿宋_GBK" w:cs="Times New Roman"/>
          <w:spacing w:val="6"/>
          <w:sz w:val="32"/>
          <w:szCs w:val="32"/>
          <w:lang w:val="en-US" w:eastAsia="zh-CN"/>
        </w:rPr>
        <w:t>信用考核结束后，市交通运输局将考核情况在本部门或政府网站进行公示，公示期为10个工作日。公示期内，对公示的信用结果有异议的，可通过书面或电话的方式向市交通运输局提出申诉，市交通运输局收到申诉后，在7个工作日内予以复核并反馈。</w:t>
      </w:r>
    </w:p>
    <w:p w14:paraId="7673AF22">
      <w:pPr>
        <w:keepNext w:val="0"/>
        <w:keepLines w:val="0"/>
        <w:pageBreakBefore w:val="0"/>
        <w:widowControl w:val="0"/>
        <w:kinsoku/>
        <w:wordWrap/>
        <w:overflowPunct w:val="0"/>
        <w:topLinePunct w:val="0"/>
        <w:autoSpaceDE/>
        <w:autoSpaceDN/>
        <w:bidi w:val="0"/>
        <w:adjustRightInd w:val="0"/>
        <w:snapToGrid w:val="0"/>
        <w:spacing w:line="590" w:lineRule="exact"/>
        <w:contextualSpacing/>
        <w:jc w:val="center"/>
        <w:textAlignment w:val="auto"/>
        <w:rPr>
          <w:rFonts w:hint="default"/>
          <w:lang w:val="en-US" w:eastAsia="zh-CN"/>
        </w:rPr>
      </w:pPr>
      <w:r>
        <w:rPr>
          <w:rFonts w:hint="default" w:ascii="方正黑体_GBK" w:hAnsi="方正黑体_GBK" w:eastAsia="方正黑体_GBK" w:cs="方正黑体_GBK"/>
          <w:spacing w:val="6"/>
          <w:sz w:val="32"/>
          <w:szCs w:val="32"/>
          <w:lang w:val="en-US" w:eastAsia="zh-CN"/>
        </w:rPr>
        <w:t>第</w:t>
      </w:r>
      <w:r>
        <w:rPr>
          <w:rFonts w:hint="eastAsia" w:ascii="方正黑体_GBK" w:hAnsi="方正黑体_GBK" w:eastAsia="方正黑体_GBK" w:cs="方正黑体_GBK"/>
          <w:spacing w:val="6"/>
          <w:sz w:val="32"/>
          <w:szCs w:val="32"/>
          <w:lang w:val="en-US" w:eastAsia="zh-CN"/>
        </w:rPr>
        <w:t>三</w:t>
      </w:r>
      <w:r>
        <w:rPr>
          <w:rFonts w:hint="default" w:ascii="方正黑体_GBK" w:hAnsi="方正黑体_GBK" w:eastAsia="方正黑体_GBK" w:cs="方正黑体_GBK"/>
          <w:spacing w:val="6"/>
          <w:sz w:val="32"/>
          <w:szCs w:val="32"/>
          <w:lang w:val="en-US" w:eastAsia="zh-CN"/>
        </w:rPr>
        <w:t>章　信用考核结果运用</w:t>
      </w:r>
    </w:p>
    <w:p w14:paraId="2DF67411">
      <w:pPr>
        <w:keepNext w:val="0"/>
        <w:keepLines w:val="0"/>
        <w:pageBreakBefore w:val="0"/>
        <w:widowControl w:val="0"/>
        <w:kinsoku/>
        <w:wordWrap/>
        <w:overflowPunct/>
        <w:topLinePunct w:val="0"/>
        <w:autoSpaceDE/>
        <w:autoSpaceDN/>
        <w:bidi w:val="0"/>
        <w:adjustRightInd w:val="0"/>
        <w:snapToGrid w:val="0"/>
        <w:spacing w:line="590" w:lineRule="exact"/>
        <w:ind w:firstLine="664" w:firstLineChars="200"/>
        <w:jc w:val="both"/>
        <w:textAlignment w:val="auto"/>
        <w:rPr>
          <w:rFonts w:hint="default" w:ascii="Times New Roman" w:hAnsi="Times New Roman" w:eastAsia="方正仿宋_GBK" w:cs="Times New Roman"/>
          <w:snapToGrid w:val="0"/>
          <w:color w:val="000000"/>
          <w:spacing w:val="6"/>
          <w:kern w:val="0"/>
          <w:sz w:val="32"/>
          <w:szCs w:val="32"/>
          <w:lang w:val="en-US" w:eastAsia="zh-CN"/>
        </w:rPr>
      </w:pPr>
      <w:r>
        <w:rPr>
          <w:rFonts w:hint="default" w:ascii="方正黑体_GBK" w:hAnsi="方正黑体_GBK" w:eastAsia="方正黑体_GBK" w:cs="方正黑体_GBK"/>
          <w:spacing w:val="6"/>
          <w:sz w:val="32"/>
          <w:szCs w:val="32"/>
          <w:lang w:val="en-US" w:eastAsia="zh-CN"/>
        </w:rPr>
        <w:t>第八条</w:t>
      </w:r>
      <w:r>
        <w:rPr>
          <w:rFonts w:hint="default" w:ascii="Times New Roman" w:hAnsi="Times New Roman" w:eastAsia="方正仿宋_GBK" w:cs="Times New Roman"/>
          <w:spacing w:val="6"/>
          <w:sz w:val="32"/>
          <w:szCs w:val="32"/>
          <w:lang w:val="en-US" w:eastAsia="zh-CN"/>
        </w:rPr>
        <w:t>　</w:t>
      </w:r>
      <w:r>
        <w:rPr>
          <w:rFonts w:hint="eastAsia" w:ascii="Times New Roman" w:hAnsi="Times New Roman" w:eastAsia="方正仿宋_GBK" w:cs="Times New Roman"/>
          <w:snapToGrid w:val="0"/>
          <w:color w:val="000000"/>
          <w:spacing w:val="6"/>
          <w:kern w:val="0"/>
          <w:sz w:val="32"/>
          <w:szCs w:val="32"/>
          <w:lang w:val="en-US" w:eastAsia="zh-CN"/>
        </w:rPr>
        <w:t>交通运输主管部门将网约车平台企业信用评定结果作为申请网约车相关业务的主要评估条件。对于评定结果良好的，采取重点支持措施，正面宣传，鼓励发展，引导从业人员优先选择合作；对于评定结果较差、存在失信行为并影响行业稳定的，依法给予整改</w:t>
      </w:r>
      <w:r>
        <w:rPr>
          <w:rFonts w:hint="default" w:ascii="Times New Roman" w:hAnsi="Times New Roman" w:eastAsia="方正仿宋_GBK" w:cs="Times New Roman"/>
          <w:snapToGrid w:val="0"/>
          <w:color w:val="000000"/>
          <w:spacing w:val="6"/>
          <w:kern w:val="0"/>
          <w:sz w:val="32"/>
          <w:szCs w:val="32"/>
          <w:lang w:val="en-US" w:eastAsia="zh-CN"/>
        </w:rPr>
        <w:t>、列入失信名单</w:t>
      </w:r>
      <w:r>
        <w:rPr>
          <w:rFonts w:hint="eastAsia" w:ascii="Times New Roman" w:hAnsi="Times New Roman" w:eastAsia="方正仿宋_GBK" w:cs="Times New Roman"/>
          <w:snapToGrid w:val="0"/>
          <w:color w:val="000000"/>
          <w:spacing w:val="6"/>
          <w:kern w:val="0"/>
          <w:sz w:val="32"/>
          <w:szCs w:val="32"/>
          <w:lang w:val="en-US" w:eastAsia="zh-CN"/>
        </w:rPr>
        <w:t>等</w:t>
      </w:r>
      <w:r>
        <w:rPr>
          <w:rFonts w:hint="default" w:ascii="Times New Roman" w:hAnsi="Times New Roman" w:eastAsia="方正仿宋_GBK" w:cs="Times New Roman"/>
          <w:snapToGrid w:val="0"/>
          <w:color w:val="000000"/>
          <w:spacing w:val="6"/>
          <w:kern w:val="0"/>
          <w:sz w:val="32"/>
          <w:szCs w:val="32"/>
          <w:lang w:val="en-US" w:eastAsia="zh-CN"/>
        </w:rPr>
        <w:t>惩戒措施</w:t>
      </w:r>
      <w:r>
        <w:rPr>
          <w:rFonts w:hint="eastAsia" w:ascii="Times New Roman" w:hAnsi="Times New Roman" w:eastAsia="方正仿宋_GBK" w:cs="Times New Roman"/>
          <w:snapToGrid w:val="0"/>
          <w:color w:val="000000"/>
          <w:spacing w:val="6"/>
          <w:kern w:val="0"/>
          <w:sz w:val="32"/>
          <w:szCs w:val="32"/>
          <w:lang w:val="en-US" w:eastAsia="zh-CN"/>
        </w:rPr>
        <w:t>，并视情予以通报</w:t>
      </w:r>
      <w:r>
        <w:rPr>
          <w:rFonts w:hint="default" w:ascii="Times New Roman" w:hAnsi="Times New Roman" w:eastAsia="方正仿宋_GBK" w:cs="Times New Roman"/>
          <w:snapToGrid w:val="0"/>
          <w:color w:val="000000"/>
          <w:spacing w:val="6"/>
          <w:kern w:val="0"/>
          <w:sz w:val="32"/>
          <w:szCs w:val="32"/>
          <w:lang w:val="en-US" w:eastAsia="zh-CN"/>
        </w:rPr>
        <w:t>。</w:t>
      </w:r>
    </w:p>
    <w:p w14:paraId="74402AE7">
      <w:pPr>
        <w:keepNext w:val="0"/>
        <w:keepLines w:val="0"/>
        <w:pageBreakBefore w:val="0"/>
        <w:widowControl w:val="0"/>
        <w:kinsoku/>
        <w:wordWrap/>
        <w:overflowPunct/>
        <w:topLinePunct w:val="0"/>
        <w:autoSpaceDE/>
        <w:autoSpaceDN/>
        <w:bidi w:val="0"/>
        <w:adjustRightInd w:val="0"/>
        <w:snapToGrid w:val="0"/>
        <w:spacing w:line="590" w:lineRule="exact"/>
        <w:ind w:firstLine="664" w:firstLineChars="200"/>
        <w:jc w:val="both"/>
        <w:textAlignment w:val="auto"/>
        <w:rPr>
          <w:rFonts w:hint="default" w:ascii="Times New Roman" w:hAnsi="Times New Roman" w:eastAsia="方正仿宋_GBK" w:cs="Times New Roman"/>
          <w:snapToGrid w:val="0"/>
          <w:color w:val="000000"/>
          <w:spacing w:val="6"/>
          <w:kern w:val="0"/>
          <w:sz w:val="32"/>
          <w:szCs w:val="32"/>
          <w:lang w:val="en-US" w:eastAsia="zh-CN"/>
        </w:rPr>
      </w:pPr>
      <w:r>
        <w:rPr>
          <w:rFonts w:hint="eastAsia" w:ascii="Times New Roman" w:hAnsi="Times New Roman" w:eastAsia="方正仿宋_GBK" w:cs="Times New Roman"/>
          <w:snapToGrid w:val="0"/>
          <w:color w:val="000000"/>
          <w:spacing w:val="6"/>
          <w:kern w:val="0"/>
          <w:sz w:val="32"/>
          <w:szCs w:val="32"/>
          <w:lang w:val="en-US" w:eastAsia="zh-CN"/>
        </w:rPr>
        <w:t>（一）对信用评定等级为AA级的，予以正面宣传，鼓励发展壮大，在行政许可过程中享受业务“绿色通道”办理待遇，在品牌创建、评先评优等方面优先考虑；</w:t>
      </w:r>
    </w:p>
    <w:p w14:paraId="1A48B340">
      <w:pPr>
        <w:keepNext w:val="0"/>
        <w:keepLines w:val="0"/>
        <w:pageBreakBefore w:val="0"/>
        <w:widowControl w:val="0"/>
        <w:kinsoku/>
        <w:wordWrap/>
        <w:overflowPunct/>
        <w:topLinePunct w:val="0"/>
        <w:autoSpaceDE/>
        <w:autoSpaceDN/>
        <w:bidi w:val="0"/>
        <w:adjustRightInd w:val="0"/>
        <w:snapToGrid w:val="0"/>
        <w:spacing w:line="590" w:lineRule="exact"/>
        <w:ind w:firstLine="664" w:firstLineChars="200"/>
        <w:jc w:val="both"/>
        <w:textAlignment w:val="auto"/>
        <w:rPr>
          <w:rFonts w:hint="default" w:ascii="Times New Roman" w:hAnsi="Times New Roman" w:eastAsia="方正仿宋_GBK" w:cs="Times New Roman"/>
          <w:snapToGrid w:val="0"/>
          <w:color w:val="000000"/>
          <w:spacing w:val="6"/>
          <w:kern w:val="0"/>
          <w:sz w:val="32"/>
          <w:szCs w:val="32"/>
          <w:lang w:val="en-US" w:eastAsia="zh-CN"/>
        </w:rPr>
      </w:pPr>
      <w:r>
        <w:rPr>
          <w:rFonts w:hint="eastAsia" w:ascii="Times New Roman" w:hAnsi="Times New Roman" w:eastAsia="方正仿宋_GBK" w:cs="Times New Roman"/>
          <w:snapToGrid w:val="0"/>
          <w:color w:val="000000"/>
          <w:spacing w:val="6"/>
          <w:kern w:val="0"/>
          <w:sz w:val="32"/>
          <w:szCs w:val="32"/>
          <w:lang w:val="en-US" w:eastAsia="zh-CN"/>
        </w:rPr>
        <w:t>（二）对信用评定等级为A级的，予以正面宣传，鼓励发展壮大，在行政许可过程中享受业务“绿色通道”办理待遇；</w:t>
      </w:r>
    </w:p>
    <w:p w14:paraId="55086582">
      <w:pPr>
        <w:keepNext w:val="0"/>
        <w:keepLines w:val="0"/>
        <w:pageBreakBefore w:val="0"/>
        <w:widowControl w:val="0"/>
        <w:kinsoku/>
        <w:wordWrap/>
        <w:overflowPunct/>
        <w:topLinePunct w:val="0"/>
        <w:autoSpaceDE/>
        <w:autoSpaceDN/>
        <w:bidi w:val="0"/>
        <w:adjustRightInd w:val="0"/>
        <w:snapToGrid w:val="0"/>
        <w:spacing w:line="590" w:lineRule="exact"/>
        <w:ind w:firstLine="664" w:firstLineChars="200"/>
        <w:jc w:val="both"/>
        <w:textAlignment w:val="auto"/>
        <w:rPr>
          <w:rFonts w:hint="default" w:ascii="Times New Roman" w:hAnsi="Times New Roman" w:eastAsia="方正仿宋_GBK" w:cs="Times New Roman"/>
          <w:snapToGrid w:val="0"/>
          <w:color w:val="000000"/>
          <w:spacing w:val="6"/>
          <w:kern w:val="0"/>
          <w:sz w:val="32"/>
          <w:szCs w:val="32"/>
          <w:lang w:val="en-US" w:eastAsia="zh-CN"/>
        </w:rPr>
      </w:pPr>
      <w:r>
        <w:rPr>
          <w:rFonts w:hint="eastAsia" w:ascii="Times New Roman" w:hAnsi="Times New Roman" w:eastAsia="方正仿宋_GBK" w:cs="Times New Roman"/>
          <w:snapToGrid w:val="0"/>
          <w:color w:val="000000"/>
          <w:spacing w:val="6"/>
          <w:kern w:val="0"/>
          <w:sz w:val="32"/>
          <w:szCs w:val="32"/>
          <w:lang w:val="en-US" w:eastAsia="zh-CN"/>
        </w:rPr>
        <w:t>（三）对信用评定等级为B级的，行业管理部门将督促其加强内部管理，限期对评定扣分项完成改善提升；</w:t>
      </w:r>
    </w:p>
    <w:p w14:paraId="3D05D6C6">
      <w:pPr>
        <w:keepNext w:val="0"/>
        <w:keepLines w:val="0"/>
        <w:pageBreakBefore w:val="0"/>
        <w:widowControl w:val="0"/>
        <w:kinsoku/>
        <w:wordWrap/>
        <w:overflowPunct/>
        <w:topLinePunct w:val="0"/>
        <w:autoSpaceDE/>
        <w:autoSpaceDN/>
        <w:bidi w:val="0"/>
        <w:adjustRightInd w:val="0"/>
        <w:snapToGrid w:val="0"/>
        <w:spacing w:line="590" w:lineRule="exact"/>
        <w:ind w:firstLine="664" w:firstLineChars="200"/>
        <w:jc w:val="both"/>
        <w:textAlignment w:val="auto"/>
        <w:rPr>
          <w:rFonts w:hint="eastAsia" w:ascii="Times New Roman" w:hAnsi="Times New Roman" w:eastAsia="方正仿宋_GBK" w:cs="Times New Roman"/>
          <w:snapToGrid w:val="0"/>
          <w:color w:val="000000"/>
          <w:spacing w:val="6"/>
          <w:kern w:val="0"/>
          <w:sz w:val="32"/>
          <w:szCs w:val="32"/>
          <w:lang w:val="en-US" w:eastAsia="zh-CN"/>
        </w:rPr>
      </w:pPr>
      <w:r>
        <w:rPr>
          <w:rFonts w:hint="eastAsia" w:ascii="Times New Roman" w:hAnsi="Times New Roman" w:eastAsia="方正仿宋_GBK" w:cs="Times New Roman"/>
          <w:snapToGrid w:val="0"/>
          <w:color w:val="000000"/>
          <w:spacing w:val="6"/>
          <w:kern w:val="0"/>
          <w:sz w:val="32"/>
          <w:szCs w:val="32"/>
          <w:lang w:val="en-US" w:eastAsia="zh-CN"/>
        </w:rPr>
        <w:t>（四）对信用评定等级为C级的，责令限期整改，整改合格前暂停办理网约车新增等相关业务；</w:t>
      </w:r>
    </w:p>
    <w:p w14:paraId="2510EA4F">
      <w:pPr>
        <w:keepNext w:val="0"/>
        <w:keepLines w:val="0"/>
        <w:pageBreakBefore w:val="0"/>
        <w:widowControl w:val="0"/>
        <w:kinsoku/>
        <w:wordWrap/>
        <w:overflowPunct/>
        <w:topLinePunct w:val="0"/>
        <w:autoSpaceDE/>
        <w:autoSpaceDN/>
        <w:bidi w:val="0"/>
        <w:adjustRightInd w:val="0"/>
        <w:snapToGrid w:val="0"/>
        <w:spacing w:line="590" w:lineRule="exact"/>
        <w:ind w:firstLine="664" w:firstLineChars="200"/>
        <w:jc w:val="both"/>
        <w:textAlignment w:val="auto"/>
        <w:rPr>
          <w:rFonts w:hint="default" w:ascii="Times New Roman" w:hAnsi="Times New Roman" w:eastAsia="方正仿宋_GBK" w:cs="Times New Roman"/>
          <w:snapToGrid w:val="0"/>
          <w:color w:val="000000"/>
          <w:spacing w:val="6"/>
          <w:kern w:val="0"/>
          <w:sz w:val="32"/>
          <w:szCs w:val="32"/>
          <w:lang w:val="en-US" w:eastAsia="zh-CN"/>
        </w:rPr>
      </w:pPr>
      <w:r>
        <w:rPr>
          <w:rFonts w:hint="eastAsia" w:ascii="Times New Roman" w:hAnsi="Times New Roman" w:eastAsia="方正仿宋_GBK" w:cs="Times New Roman"/>
          <w:snapToGrid w:val="0"/>
          <w:color w:val="000000"/>
          <w:spacing w:val="6"/>
          <w:kern w:val="0"/>
          <w:sz w:val="32"/>
          <w:szCs w:val="32"/>
          <w:lang w:val="en-US" w:eastAsia="zh-CN"/>
        </w:rPr>
        <w:t>（五）</w:t>
      </w:r>
      <w:r>
        <w:rPr>
          <w:rFonts w:hint="default" w:ascii="Times New Roman" w:hAnsi="Times New Roman" w:eastAsia="方正仿宋_GBK" w:cs="Times New Roman"/>
          <w:snapToGrid w:val="0"/>
          <w:color w:val="000000"/>
          <w:spacing w:val="6"/>
          <w:kern w:val="0"/>
          <w:sz w:val="32"/>
          <w:szCs w:val="32"/>
          <w:lang w:val="en-US" w:eastAsia="zh-CN"/>
        </w:rPr>
        <w:t>对</w:t>
      </w:r>
      <w:r>
        <w:rPr>
          <w:rFonts w:hint="eastAsia" w:ascii="Times New Roman" w:hAnsi="Times New Roman" w:eastAsia="方正仿宋_GBK" w:cs="Times New Roman"/>
          <w:snapToGrid w:val="0"/>
          <w:color w:val="000000"/>
          <w:spacing w:val="6"/>
          <w:kern w:val="0"/>
          <w:sz w:val="32"/>
          <w:szCs w:val="32"/>
          <w:lang w:val="en-US" w:eastAsia="zh-CN"/>
        </w:rPr>
        <w:t>信用评定等级</w:t>
      </w:r>
      <w:r>
        <w:rPr>
          <w:rFonts w:hint="default" w:ascii="Times New Roman" w:hAnsi="Times New Roman" w:eastAsia="方正仿宋_GBK" w:cs="Times New Roman"/>
          <w:snapToGrid w:val="0"/>
          <w:color w:val="000000"/>
          <w:spacing w:val="6"/>
          <w:kern w:val="0"/>
          <w:sz w:val="32"/>
          <w:szCs w:val="32"/>
          <w:lang w:val="en-US" w:eastAsia="zh-CN"/>
        </w:rPr>
        <w:t>为</w:t>
      </w:r>
      <w:r>
        <w:rPr>
          <w:rFonts w:hint="eastAsia" w:ascii="Times New Roman" w:hAnsi="Times New Roman" w:eastAsia="方正仿宋_GBK" w:cs="Times New Roman"/>
          <w:snapToGrid w:val="0"/>
          <w:color w:val="000000"/>
          <w:spacing w:val="6"/>
          <w:kern w:val="0"/>
          <w:sz w:val="32"/>
          <w:szCs w:val="32"/>
          <w:lang w:val="en-US" w:eastAsia="zh-CN"/>
        </w:rPr>
        <w:t>D级</w:t>
      </w:r>
      <w:r>
        <w:rPr>
          <w:rFonts w:hint="default" w:ascii="Times New Roman" w:hAnsi="Times New Roman" w:eastAsia="方正仿宋_GBK" w:cs="Times New Roman"/>
          <w:snapToGrid w:val="0"/>
          <w:color w:val="000000"/>
          <w:spacing w:val="6"/>
          <w:kern w:val="0"/>
          <w:sz w:val="32"/>
          <w:szCs w:val="32"/>
          <w:lang w:val="en-US" w:eastAsia="zh-CN"/>
        </w:rPr>
        <w:t>的，</w:t>
      </w:r>
      <w:r>
        <w:rPr>
          <w:rFonts w:hint="eastAsia" w:ascii="Times New Roman" w:hAnsi="Times New Roman" w:eastAsia="方正仿宋_GBK" w:cs="Times New Roman"/>
          <w:snapToGrid w:val="0"/>
          <w:color w:val="000000"/>
          <w:spacing w:val="6"/>
          <w:kern w:val="0"/>
          <w:sz w:val="32"/>
          <w:szCs w:val="32"/>
          <w:lang w:val="en-US" w:eastAsia="zh-CN"/>
        </w:rPr>
        <w:t>暂停办理企业新增网约车等相关业务，直接提请市交通运输新业态</w:t>
      </w:r>
      <w:r>
        <w:rPr>
          <w:rFonts w:hint="default" w:ascii="Times New Roman" w:hAnsi="Times New Roman" w:eastAsia="方正仿宋_GBK" w:cs="Times New Roman"/>
          <w:snapToGrid w:val="0"/>
          <w:color w:val="000000"/>
          <w:spacing w:val="6"/>
          <w:kern w:val="0"/>
          <w:sz w:val="32"/>
          <w:szCs w:val="32"/>
          <w:lang w:val="en-US" w:eastAsia="zh-CN"/>
        </w:rPr>
        <w:t>协同监管联席会议按规定</w:t>
      </w:r>
      <w:r>
        <w:rPr>
          <w:rFonts w:hint="eastAsia" w:ascii="Times New Roman" w:hAnsi="Times New Roman" w:eastAsia="方正仿宋_GBK" w:cs="Times New Roman"/>
          <w:snapToGrid w:val="0"/>
          <w:color w:val="000000"/>
          <w:spacing w:val="6"/>
          <w:kern w:val="0"/>
          <w:sz w:val="32"/>
          <w:szCs w:val="32"/>
          <w:lang w:val="en-US" w:eastAsia="zh-CN"/>
        </w:rPr>
        <w:t>发起联合</w:t>
      </w:r>
      <w:r>
        <w:rPr>
          <w:rFonts w:hint="default" w:ascii="Times New Roman" w:hAnsi="Times New Roman" w:eastAsia="方正仿宋_GBK" w:cs="Times New Roman"/>
          <w:snapToGrid w:val="0"/>
          <w:color w:val="000000"/>
          <w:spacing w:val="6"/>
          <w:kern w:val="0"/>
          <w:sz w:val="32"/>
          <w:szCs w:val="32"/>
          <w:lang w:val="en-US" w:eastAsia="zh-CN"/>
        </w:rPr>
        <w:t>监管措施</w:t>
      </w:r>
      <w:r>
        <w:rPr>
          <w:rFonts w:hint="eastAsia" w:ascii="Times New Roman" w:hAnsi="Times New Roman" w:eastAsia="方正仿宋_GBK" w:cs="Times New Roman"/>
          <w:snapToGrid w:val="0"/>
          <w:color w:val="000000"/>
          <w:spacing w:val="6"/>
          <w:kern w:val="0"/>
          <w:sz w:val="32"/>
          <w:szCs w:val="32"/>
          <w:lang w:val="en-US" w:eastAsia="zh-CN"/>
        </w:rPr>
        <w:t>。包括</w:t>
      </w:r>
      <w:r>
        <w:rPr>
          <w:rFonts w:hint="default" w:ascii="Times New Roman" w:hAnsi="Times New Roman" w:eastAsia="方正仿宋_GBK" w:cs="Times New Roman"/>
          <w:snapToGrid w:val="0"/>
          <w:color w:val="000000"/>
          <w:spacing w:val="6"/>
          <w:kern w:val="0"/>
          <w:sz w:val="32"/>
          <w:szCs w:val="32"/>
          <w:lang w:val="en-US" w:eastAsia="zh-CN"/>
        </w:rPr>
        <w:t>但不限于：责令网约车平台企业暂停区域内经营服务；暂停发布、下架移动</w:t>
      </w:r>
      <w:r>
        <w:rPr>
          <w:rFonts w:hint="eastAsia" w:ascii="Times New Roman" w:hAnsi="Times New Roman" w:eastAsia="方正仿宋_GBK" w:cs="Times New Roman"/>
          <w:snapToGrid w:val="0"/>
          <w:color w:val="000000"/>
          <w:spacing w:val="6"/>
          <w:kern w:val="0"/>
          <w:sz w:val="32"/>
          <w:szCs w:val="32"/>
          <w:lang w:val="en-US" w:eastAsia="zh-CN"/>
        </w:rPr>
        <w:t>互</w:t>
      </w:r>
      <w:r>
        <w:rPr>
          <w:rFonts w:hint="default" w:ascii="Times New Roman" w:hAnsi="Times New Roman" w:eastAsia="方正仿宋_GBK" w:cs="Times New Roman"/>
          <w:snapToGrid w:val="0"/>
          <w:color w:val="000000"/>
          <w:spacing w:val="6"/>
          <w:kern w:val="0"/>
          <w:sz w:val="32"/>
          <w:szCs w:val="32"/>
          <w:lang w:val="en-US" w:eastAsia="zh-CN"/>
        </w:rPr>
        <w:t>联网</w:t>
      </w:r>
      <w:r>
        <w:rPr>
          <w:rFonts w:hint="eastAsia" w:ascii="Times New Roman" w:hAnsi="Times New Roman" w:eastAsia="方正仿宋_GBK" w:cs="Times New Roman"/>
          <w:snapToGrid w:val="0"/>
          <w:color w:val="000000"/>
          <w:spacing w:val="6"/>
          <w:kern w:val="0"/>
          <w:sz w:val="32"/>
          <w:szCs w:val="32"/>
          <w:lang w:val="en-US" w:eastAsia="zh-CN"/>
        </w:rPr>
        <w:t>应用程序（APP）；</w:t>
      </w:r>
      <w:r>
        <w:rPr>
          <w:rFonts w:hint="default" w:ascii="Times New Roman" w:hAnsi="Times New Roman" w:eastAsia="方正仿宋_GBK" w:cs="Times New Roman"/>
          <w:snapToGrid w:val="0"/>
          <w:color w:val="000000"/>
          <w:spacing w:val="6"/>
          <w:kern w:val="0"/>
          <w:sz w:val="32"/>
          <w:szCs w:val="32"/>
          <w:lang w:val="en-US" w:eastAsia="zh-CN"/>
        </w:rPr>
        <w:t>停止互联网服务；停止联网或停机整顿等</w:t>
      </w:r>
      <w:r>
        <w:rPr>
          <w:rFonts w:hint="eastAsia" w:ascii="Times New Roman" w:hAnsi="Times New Roman" w:eastAsia="方正仿宋_GBK" w:cs="Times New Roman"/>
          <w:snapToGrid w:val="0"/>
          <w:color w:val="000000"/>
          <w:spacing w:val="6"/>
          <w:kern w:val="0"/>
          <w:sz w:val="32"/>
          <w:szCs w:val="32"/>
          <w:lang w:val="en-US" w:eastAsia="zh-CN"/>
        </w:rPr>
        <w:t>，将企业法人及主要经营人信用信息上报至市信用监管部门实施联合惩戒</w:t>
      </w:r>
      <w:r>
        <w:rPr>
          <w:rFonts w:hint="default" w:ascii="Times New Roman" w:hAnsi="Times New Roman" w:eastAsia="方正仿宋_GBK" w:cs="Times New Roman"/>
          <w:snapToGrid w:val="0"/>
          <w:color w:val="000000"/>
          <w:spacing w:val="6"/>
          <w:kern w:val="0"/>
          <w:sz w:val="32"/>
          <w:szCs w:val="32"/>
          <w:lang w:val="en-US" w:eastAsia="zh-CN"/>
        </w:rPr>
        <w:t>。</w:t>
      </w:r>
    </w:p>
    <w:p w14:paraId="0C43E934">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center"/>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w:t>
      </w:r>
      <w:r>
        <w:rPr>
          <w:rFonts w:hint="eastAsia" w:ascii="方正黑体_GBK" w:hAnsi="方正黑体_GBK" w:eastAsia="方正黑体_GBK" w:cs="方正黑体_GBK"/>
          <w:spacing w:val="6"/>
          <w:sz w:val="32"/>
          <w:szCs w:val="32"/>
          <w:lang w:val="en-US" w:eastAsia="zh-CN"/>
        </w:rPr>
        <w:t>四</w:t>
      </w:r>
      <w:r>
        <w:rPr>
          <w:rFonts w:hint="default" w:ascii="方正黑体_GBK" w:hAnsi="方正黑体_GBK" w:eastAsia="方正黑体_GBK" w:cs="方正黑体_GBK"/>
          <w:spacing w:val="6"/>
          <w:sz w:val="32"/>
          <w:szCs w:val="32"/>
          <w:lang w:val="en-US" w:eastAsia="zh-CN"/>
        </w:rPr>
        <w:t>章　信用等级修复</w:t>
      </w:r>
    </w:p>
    <w:p w14:paraId="380177BC">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第九条</w:t>
      </w:r>
      <w:r>
        <w:rPr>
          <w:rFonts w:hint="default" w:ascii="Times New Roman" w:hAnsi="Times New Roman" w:eastAsia="方正仿宋_GBK" w:cs="Times New Roman"/>
          <w:spacing w:val="6"/>
          <w:sz w:val="32"/>
          <w:szCs w:val="32"/>
          <w:lang w:val="en-US" w:eastAsia="zh-CN"/>
        </w:rPr>
        <w:t>　网约车平台企业信用等级实行动态管理。在信用等级有效期内，信息主体出现重大交通责任事故或重大违法违规等行为的，应当根据信用分类评级要求，降至相应的信用等级。</w:t>
      </w:r>
    </w:p>
    <w:p w14:paraId="1424ED7E">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第十条</w:t>
      </w:r>
      <w:r>
        <w:rPr>
          <w:rFonts w:hint="default" w:ascii="Times New Roman" w:hAnsi="Times New Roman" w:eastAsia="方正仿宋_GBK" w:cs="Times New Roman"/>
          <w:spacing w:val="6"/>
          <w:sz w:val="32"/>
          <w:szCs w:val="32"/>
          <w:lang w:val="en-US" w:eastAsia="zh-CN"/>
        </w:rPr>
        <w:t>　新的考核周期开始30天后，B级以下企业可向市道路运输管理服务中心提出信用修复申请。符合修复条件的转报市交通运输局提请信用修复。市交通运输局复核后予以公示，公示无异议的，对企业信用等级予以调整。考核周期内仅限企业申请一次信用修复。</w:t>
      </w:r>
    </w:p>
    <w:p w14:paraId="629DA33D">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第十一条</w:t>
      </w:r>
      <w:r>
        <w:rPr>
          <w:rFonts w:hint="default" w:ascii="Times New Roman" w:hAnsi="Times New Roman" w:eastAsia="方正仿宋_GBK" w:cs="Times New Roman"/>
          <w:spacing w:val="6"/>
          <w:sz w:val="32"/>
          <w:szCs w:val="32"/>
          <w:lang w:val="en-US" w:eastAsia="zh-CN"/>
        </w:rPr>
        <w:t>　申请信用修复的企业应提交《信用修复承诺书》，内容包括但不限于依法诚信经营的具体措施、承诺自愿接受社会监督、违背承诺自愿接受联合惩戒等；同时积极配合交通运输执法部门完成违法违规行为处理，全面完善企业经营管理各项制度，消除失信行为。</w:t>
      </w:r>
    </w:p>
    <w:p w14:paraId="45FBD321">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第十二条</w:t>
      </w:r>
      <w:r>
        <w:rPr>
          <w:rFonts w:hint="default" w:ascii="Times New Roman" w:hAnsi="Times New Roman" w:eastAsia="方正仿宋_GBK" w:cs="Times New Roman"/>
          <w:spacing w:val="6"/>
          <w:sz w:val="32"/>
          <w:szCs w:val="32"/>
          <w:lang w:val="en-US" w:eastAsia="zh-CN"/>
        </w:rPr>
        <w:t>　信用等级动态调整及信用修复遵循“陡降缓升”原则。周期内信用修复仅可向上提升一个等级。</w:t>
      </w:r>
    </w:p>
    <w:p w14:paraId="2F01E613">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第十三条</w:t>
      </w:r>
      <w:r>
        <w:rPr>
          <w:rFonts w:hint="default" w:ascii="Times New Roman" w:hAnsi="Times New Roman" w:eastAsia="方正仿宋_GBK" w:cs="Times New Roman"/>
          <w:spacing w:val="6"/>
          <w:sz w:val="32"/>
          <w:szCs w:val="32"/>
          <w:lang w:val="en-US" w:eastAsia="zh-CN"/>
        </w:rPr>
        <w:t>　网约车聚合平台应加强对接入的网约车平台企业、提供服务的车辆及人员的信息核验，督促网约车平台企业按照本办法要求完成信用等级评定、修复等工作。</w:t>
      </w:r>
    </w:p>
    <w:p w14:paraId="352B47CC">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基金管理机构应当按照中国证券投资基金业协会发布的《私募投资基金信息披露管理办法》等有关要求，建立重大事项披露等制度，并根据基金合伙协议（或公司章程）约定，负责基金的日常经营管理工作，履行基金运行信息报送、接受绩效评价和监督检查、推动基金目标实现、维护基金利益等义务。</w:t>
      </w:r>
    </w:p>
    <w:p w14:paraId="3CD70D6E">
      <w:pPr>
        <w:keepNext w:val="0"/>
        <w:keepLines w:val="0"/>
        <w:pageBreakBefore w:val="0"/>
        <w:widowControl w:val="0"/>
        <w:kinsoku/>
        <w:wordWrap/>
        <w:overflowPunct w:val="0"/>
        <w:topLinePunct w:val="0"/>
        <w:autoSpaceDE/>
        <w:autoSpaceDN/>
        <w:bidi w:val="0"/>
        <w:adjustRightInd w:val="0"/>
        <w:snapToGrid w:val="0"/>
        <w:spacing w:line="590" w:lineRule="exact"/>
        <w:contextualSpacing/>
        <w:jc w:val="center"/>
        <w:textAlignment w:val="auto"/>
        <w:rPr>
          <w:rFonts w:hint="default" w:ascii="方正黑体_GBK" w:hAnsi="方正黑体_GBK" w:eastAsia="方正黑体_GBK" w:cs="方正黑体_GBK"/>
          <w:spacing w:val="6"/>
          <w:sz w:val="32"/>
          <w:szCs w:val="32"/>
          <w:lang w:val="en-US" w:eastAsia="zh-CN"/>
        </w:rPr>
      </w:pPr>
      <w:r>
        <w:rPr>
          <w:rFonts w:hint="default" w:ascii="方正黑体_GBK" w:hAnsi="方正黑体_GBK" w:eastAsia="方正黑体_GBK" w:cs="方正黑体_GBK"/>
          <w:spacing w:val="6"/>
          <w:sz w:val="32"/>
          <w:szCs w:val="32"/>
          <w:lang w:val="en-US" w:eastAsia="zh-CN"/>
        </w:rPr>
        <w:t>第</w:t>
      </w:r>
      <w:r>
        <w:rPr>
          <w:rFonts w:hint="eastAsia" w:ascii="方正黑体_GBK" w:hAnsi="方正黑体_GBK" w:eastAsia="方正黑体_GBK" w:cs="方正黑体_GBK"/>
          <w:spacing w:val="6"/>
          <w:sz w:val="32"/>
          <w:szCs w:val="32"/>
          <w:lang w:val="en-US" w:eastAsia="zh-CN"/>
        </w:rPr>
        <w:t>五</w:t>
      </w:r>
      <w:r>
        <w:rPr>
          <w:rFonts w:hint="default" w:ascii="方正黑体_GBK" w:hAnsi="方正黑体_GBK" w:eastAsia="方正黑体_GBK" w:cs="方正黑体_GBK"/>
          <w:spacing w:val="6"/>
          <w:sz w:val="32"/>
          <w:szCs w:val="32"/>
          <w:lang w:val="en-US" w:eastAsia="zh-CN"/>
        </w:rPr>
        <w:t>章　附　　则</w:t>
      </w:r>
    </w:p>
    <w:p w14:paraId="11C33802">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w:t>
      </w:r>
      <w:r>
        <w:rPr>
          <w:rFonts w:hint="eastAsia" w:ascii="方正黑体_GBK" w:hAnsi="方正黑体_GBK" w:eastAsia="方正黑体_GBK" w:cs="方正黑体_GBK"/>
          <w:spacing w:val="6"/>
          <w:sz w:val="32"/>
          <w:szCs w:val="32"/>
          <w:lang w:val="en-US" w:eastAsia="zh-CN"/>
        </w:rPr>
        <w:t>十四</w:t>
      </w:r>
      <w:r>
        <w:rPr>
          <w:rFonts w:hint="default" w:ascii="方正黑体_GBK" w:hAnsi="方正黑体_GBK" w:eastAsia="方正黑体_GBK" w:cs="方正黑体_GBK"/>
          <w:spacing w:val="6"/>
          <w:sz w:val="32"/>
          <w:szCs w:val="32"/>
          <w:lang w:val="en-US" w:eastAsia="zh-CN"/>
        </w:rPr>
        <w:t>条</w:t>
      </w:r>
      <w:r>
        <w:rPr>
          <w:rFonts w:hint="default" w:ascii="Times New Roman" w:hAnsi="Times New Roman" w:eastAsia="方正仿宋_GBK" w:cs="Times New Roman"/>
          <w:spacing w:val="6"/>
          <w:sz w:val="32"/>
          <w:szCs w:val="32"/>
          <w:lang w:val="en-US" w:eastAsia="zh-CN"/>
        </w:rPr>
        <w:t>　市、县（区）交通运输部门协同监管，构建信息共享机制。依据《黄山市网络预约出租汽车经营服务管理实施细则》规定，按照属地管理原则，落实市场分级监管责任，加强对本辖区内平台企业、车辆及人员经营行为协同管理、监督检查。</w:t>
      </w:r>
    </w:p>
    <w:p w14:paraId="34E56494">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w:t>
      </w:r>
      <w:r>
        <w:rPr>
          <w:rFonts w:hint="eastAsia" w:ascii="方正黑体_GBK" w:hAnsi="方正黑体_GBK" w:eastAsia="方正黑体_GBK" w:cs="方正黑体_GBK"/>
          <w:spacing w:val="6"/>
          <w:sz w:val="32"/>
          <w:szCs w:val="32"/>
          <w:lang w:val="en-US" w:eastAsia="zh-CN"/>
        </w:rPr>
        <w:t>十五</w:t>
      </w:r>
      <w:r>
        <w:rPr>
          <w:rFonts w:hint="default" w:ascii="方正黑体_GBK" w:hAnsi="方正黑体_GBK" w:eastAsia="方正黑体_GBK" w:cs="方正黑体_GBK"/>
          <w:spacing w:val="6"/>
          <w:sz w:val="32"/>
          <w:szCs w:val="32"/>
          <w:lang w:val="en-US" w:eastAsia="zh-CN"/>
        </w:rPr>
        <w:t>条</w:t>
      </w:r>
      <w:r>
        <w:rPr>
          <w:rFonts w:hint="default" w:ascii="Times New Roman" w:hAnsi="Times New Roman" w:eastAsia="方正仿宋_GBK" w:cs="Times New Roman"/>
          <w:spacing w:val="6"/>
          <w:sz w:val="32"/>
          <w:szCs w:val="32"/>
          <w:lang w:val="en-US" w:eastAsia="zh-CN"/>
        </w:rPr>
        <w:t>　网约车聚合平台及其合作网约车平台企业要依法建立健全咨询服务和投诉处理的“首问负责制度”，乘客因安全责任事故受到损害并要求网约车聚合平台承担先行赔偿责任的，网约车聚合平台要履行《中华人民共和国消费者权益保护法》等相关规定，承担相关责任。</w:t>
      </w:r>
    </w:p>
    <w:p w14:paraId="61F2D28C">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w:t>
      </w:r>
      <w:r>
        <w:rPr>
          <w:rFonts w:hint="eastAsia" w:ascii="方正黑体_GBK" w:hAnsi="方正黑体_GBK" w:eastAsia="方正黑体_GBK" w:cs="方正黑体_GBK"/>
          <w:spacing w:val="6"/>
          <w:sz w:val="32"/>
          <w:szCs w:val="32"/>
          <w:lang w:val="en-US" w:eastAsia="zh-CN"/>
        </w:rPr>
        <w:t>十六</w:t>
      </w:r>
      <w:r>
        <w:rPr>
          <w:rFonts w:hint="default" w:ascii="方正黑体_GBK" w:hAnsi="方正黑体_GBK" w:eastAsia="方正黑体_GBK" w:cs="方正黑体_GBK"/>
          <w:spacing w:val="6"/>
          <w:sz w:val="32"/>
          <w:szCs w:val="32"/>
          <w:lang w:val="en-US" w:eastAsia="zh-CN"/>
        </w:rPr>
        <w:t>条</w:t>
      </w:r>
      <w:r>
        <w:rPr>
          <w:rFonts w:hint="default" w:ascii="Times New Roman" w:hAnsi="Times New Roman" w:eastAsia="方正仿宋_GBK" w:cs="Times New Roman"/>
          <w:spacing w:val="6"/>
          <w:sz w:val="32"/>
          <w:szCs w:val="32"/>
          <w:lang w:val="en-US" w:eastAsia="zh-CN"/>
        </w:rPr>
        <w:t>　网约车平台企业应当建立健全车辆技术档案，包括车辆基本信息，车辆安全技术检验报告、车辆维护和修理（含《机动车维修竣工出厂合格证》）、车辆主要零部件更换、车辆变更、行驶里程、对车辆造成损伤的交通事故等内容。</w:t>
      </w:r>
    </w:p>
    <w:p w14:paraId="67EB2366">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w:t>
      </w:r>
      <w:r>
        <w:rPr>
          <w:rFonts w:hint="eastAsia" w:ascii="方正黑体_GBK" w:hAnsi="方正黑体_GBK" w:eastAsia="方正黑体_GBK" w:cs="方正黑体_GBK"/>
          <w:spacing w:val="6"/>
          <w:sz w:val="32"/>
          <w:szCs w:val="32"/>
          <w:lang w:val="en-US" w:eastAsia="zh-CN"/>
        </w:rPr>
        <w:t>十七</w:t>
      </w:r>
      <w:r>
        <w:rPr>
          <w:rFonts w:hint="default" w:ascii="方正黑体_GBK" w:hAnsi="方正黑体_GBK" w:eastAsia="方正黑体_GBK" w:cs="方正黑体_GBK"/>
          <w:spacing w:val="6"/>
          <w:sz w:val="32"/>
          <w:szCs w:val="32"/>
          <w:lang w:val="en-US" w:eastAsia="zh-CN"/>
        </w:rPr>
        <w:t>条</w:t>
      </w:r>
      <w:r>
        <w:rPr>
          <w:rFonts w:hint="default" w:ascii="Times New Roman" w:hAnsi="Times New Roman" w:eastAsia="方正仿宋_GBK" w:cs="Times New Roman"/>
          <w:spacing w:val="6"/>
          <w:sz w:val="32"/>
          <w:szCs w:val="32"/>
          <w:lang w:val="en-US" w:eastAsia="zh-CN"/>
        </w:rPr>
        <w:t>　网约车平台企业应当建立驾驶员服务质量信誉档案，包括下列内容：</w:t>
      </w:r>
    </w:p>
    <w:p w14:paraId="4B6A731C">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（一）基本情况，包括网约车驾驶员的姓名、性别、身份证号、住址、联系电话、服务单位、初领驾驶证日期、准驾车型、从业资格证号以及从业资格证件领取、注册和变更记录、培训教育等情况；</w:t>
      </w:r>
    </w:p>
    <w:p w14:paraId="432C2A98">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（二）遵守法规情况，包括查处网约车驾驶员违法行为等情况；</w:t>
      </w:r>
    </w:p>
    <w:p w14:paraId="4BDF0738">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（三）安全生产情况，包括交通责任事故的时间、地点、死伤人数、经济损失、交通事故责任认定和处理等情况；</w:t>
      </w:r>
    </w:p>
    <w:p w14:paraId="4A6CF771">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（四）经营服务情况，包括乘客投诉、媒体曝光的服务质量事件等情况。</w:t>
      </w:r>
    </w:p>
    <w:p w14:paraId="1A001E78">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w:t>
      </w:r>
      <w:r>
        <w:rPr>
          <w:rFonts w:hint="eastAsia" w:ascii="方正黑体_GBK" w:hAnsi="方正黑体_GBK" w:eastAsia="方正黑体_GBK" w:cs="方正黑体_GBK"/>
          <w:spacing w:val="6"/>
          <w:sz w:val="32"/>
          <w:szCs w:val="32"/>
          <w:lang w:val="en-US" w:eastAsia="zh-CN"/>
        </w:rPr>
        <w:t>十八</w:t>
      </w:r>
      <w:r>
        <w:rPr>
          <w:rFonts w:hint="default" w:ascii="方正黑体_GBK" w:hAnsi="方正黑体_GBK" w:eastAsia="方正黑体_GBK" w:cs="方正黑体_GBK"/>
          <w:spacing w:val="6"/>
          <w:sz w:val="32"/>
          <w:szCs w:val="32"/>
          <w:lang w:val="en-US" w:eastAsia="zh-CN"/>
        </w:rPr>
        <w:t>条</w:t>
      </w:r>
      <w:r>
        <w:rPr>
          <w:rFonts w:hint="default" w:ascii="Times New Roman" w:hAnsi="Times New Roman" w:eastAsia="方正仿宋_GBK" w:cs="Times New Roman"/>
          <w:spacing w:val="6"/>
          <w:sz w:val="32"/>
          <w:szCs w:val="32"/>
          <w:lang w:val="en-US" w:eastAsia="zh-CN"/>
        </w:rPr>
        <w:t>　本办法自印发之日起施行，如上级主管部门对于网约车平台企业有新的管理规定，从其规定。</w:t>
      </w:r>
    </w:p>
    <w:p w14:paraId="3D31CE4A">
      <w:pPr>
        <w:pStyle w:val="2"/>
        <w:rPr>
          <w:rFonts w:hint="eastAsia" w:ascii="Times New Roman" w:hAnsi="Times New Roman" w:eastAsia="方正仿宋_GBK" w:cs="Times New Roman"/>
          <w:snapToGrid w:val="0"/>
          <w:color w:val="000000"/>
          <w:spacing w:val="6"/>
          <w:kern w:val="0"/>
          <w:sz w:val="32"/>
          <w:szCs w:val="32"/>
          <w:lang w:val="en-US" w:eastAsia="zh-CN"/>
        </w:rPr>
      </w:pPr>
    </w:p>
    <w:p w14:paraId="28A3B7CF">
      <w:pPr>
        <w:pStyle w:val="2"/>
        <w:keepNext w:val="0"/>
        <w:keepLines w:val="0"/>
        <w:pageBreakBefore w:val="0"/>
        <w:widowControl w:val="0"/>
        <w:kinsoku/>
        <w:wordWrap/>
        <w:overflowPunct/>
        <w:topLinePunct w:val="0"/>
        <w:autoSpaceDE/>
        <w:autoSpaceDN/>
        <w:bidi w:val="0"/>
        <w:adjustRightInd/>
        <w:snapToGrid/>
        <w:ind w:left="0" w:leftChars="0" w:firstLine="664" w:firstLineChars="200"/>
        <w:textAlignment w:val="auto"/>
        <w:rPr>
          <w:rFonts w:hint="default" w:ascii="Times New Roman" w:hAnsi="Times New Roman" w:eastAsia="方正仿宋_GBK" w:cs="Times New Roman"/>
          <w:b w:val="0"/>
          <w:color w:val="auto"/>
          <w:spacing w:val="6"/>
          <w:kern w:val="2"/>
          <w:sz w:val="32"/>
          <w:szCs w:val="32"/>
          <w:lang w:val="en-US" w:eastAsia="zh-CN" w:bidi="ar-SA"/>
        </w:rPr>
      </w:pPr>
      <w:r>
        <w:rPr>
          <w:rFonts w:hint="eastAsia" w:ascii="Times New Roman" w:hAnsi="Times New Roman" w:eastAsia="方正仿宋_GBK" w:cs="Times New Roman"/>
          <w:b w:val="0"/>
          <w:color w:val="auto"/>
          <w:spacing w:val="6"/>
          <w:kern w:val="2"/>
          <w:sz w:val="32"/>
          <w:szCs w:val="32"/>
          <w:lang w:val="en-US" w:eastAsia="zh-CN" w:bidi="ar-SA"/>
        </w:rPr>
        <w:t>附件：黄山市网络预约出租汽车平台企业信用考核评定指标</w:t>
      </w:r>
    </w:p>
    <w:p w14:paraId="5A23C308">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eastAsia="zh-CN"/>
        </w:rPr>
      </w:pPr>
    </w:p>
    <w:p w14:paraId="56FBFF81">
      <w:pPr>
        <w:pStyle w:val="2"/>
        <w:rPr>
          <w:rFonts w:hint="default" w:ascii="Times New Roman" w:hAnsi="Times New Roman" w:eastAsia="方正仿宋_GBK" w:cs="Times New Roman"/>
          <w:spacing w:val="6"/>
          <w:sz w:val="32"/>
          <w:szCs w:val="32"/>
          <w:lang w:eastAsia="zh-CN"/>
        </w:rPr>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pPr>
    </w:p>
    <w:p w14:paraId="49951D92">
      <w:pPr>
        <w:widowControl/>
        <w:suppressAutoHyphens/>
        <w:bidi w:val="0"/>
        <w:spacing w:line="240" w:lineRule="auto"/>
        <w:rPr>
          <w:rFonts w:hint="eastAsia" w:ascii="方正黑体_GBK" w:hAnsi="方正黑体_GBK" w:eastAsia="方正黑体_GBK" w:cs="方正黑体_GBK"/>
          <w:color w:val="000000"/>
          <w:kern w:val="0"/>
          <w:sz w:val="32"/>
          <w:szCs w:val="32"/>
        </w:rPr>
      </w:pPr>
      <w:r>
        <w:rPr>
          <w:rFonts w:hint="eastAsia" w:ascii="方正仿宋_GBK" w:hAnsi="方正仿宋_GBK" w:eastAsia="方正仿宋_GBK" w:cs="方正仿宋_GBK"/>
          <w:color w:val="000000"/>
          <w:kern w:val="0"/>
          <w:sz w:val="32"/>
          <w:szCs w:val="32"/>
        </w:rPr>
        <w:t>附件</w:t>
      </w:r>
    </w:p>
    <w:tbl>
      <w:tblPr>
        <w:tblStyle w:val="18"/>
        <w:tblW w:w="15040" w:type="dxa"/>
        <w:jc w:val="center"/>
        <w:tblLayout w:type="fixed"/>
        <w:tblCellMar>
          <w:top w:w="0" w:type="dxa"/>
          <w:left w:w="108" w:type="dxa"/>
          <w:bottom w:w="0" w:type="dxa"/>
          <w:right w:w="108" w:type="dxa"/>
        </w:tblCellMar>
      </w:tblPr>
      <w:tblGrid>
        <w:gridCol w:w="1655"/>
        <w:gridCol w:w="1174"/>
        <w:gridCol w:w="11319"/>
        <w:gridCol w:w="892"/>
      </w:tblGrid>
      <w:tr w14:paraId="54483D71">
        <w:tblPrEx>
          <w:tblCellMar>
            <w:top w:w="0" w:type="dxa"/>
            <w:left w:w="108" w:type="dxa"/>
            <w:bottom w:w="0" w:type="dxa"/>
            <w:right w:w="108" w:type="dxa"/>
          </w:tblCellMar>
        </w:tblPrEx>
        <w:trPr>
          <w:trHeight w:val="90" w:hRule="atLeast"/>
          <w:jc w:val="center"/>
        </w:trPr>
        <w:tc>
          <w:tcPr>
            <w:tcW w:w="15040" w:type="dxa"/>
            <w:gridSpan w:val="4"/>
            <w:tcBorders>
              <w:top w:val="nil"/>
              <w:left w:val="nil"/>
              <w:bottom w:val="nil"/>
              <w:right w:val="nil"/>
            </w:tcBorders>
            <w:noWrap/>
            <w:vAlign w:val="center"/>
          </w:tcPr>
          <w:p w14:paraId="7BF4C3E4">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center"/>
              <w:textAlignment w:val="auto"/>
              <w:rPr>
                <w:rFonts w:ascii="方正公文小标宋" w:hAnsi="等线" w:eastAsia="方正公文小标宋" w:cs="宋体"/>
                <w:color w:val="000000"/>
                <w:kern w:val="0"/>
                <w:sz w:val="36"/>
                <w:szCs w:val="36"/>
              </w:rPr>
            </w:pPr>
            <w:bookmarkStart w:id="0" w:name="_Hlk176421336"/>
            <w:r>
              <w:rPr>
                <w:rFonts w:hint="eastAsia" w:ascii="方正小标宋_GBK" w:hAnsi="方正小标宋_GBK" w:eastAsia="方正小标宋_GBK" w:cs="方正小标宋_GBK"/>
                <w:spacing w:val="6"/>
                <w:sz w:val="44"/>
                <w:szCs w:val="44"/>
                <w:lang w:val="en-US" w:eastAsia="zh-CN"/>
              </w:rPr>
              <w:t>黄山市网络预约出租汽车平台企业信用考核评定指标</w:t>
            </w:r>
            <w:bookmarkEnd w:id="0"/>
          </w:p>
        </w:tc>
      </w:tr>
      <w:tr w14:paraId="71413E5E">
        <w:tblPrEx>
          <w:tblCellMar>
            <w:top w:w="0" w:type="dxa"/>
            <w:left w:w="108" w:type="dxa"/>
            <w:bottom w:w="0" w:type="dxa"/>
            <w:right w:w="108" w:type="dxa"/>
          </w:tblCellMar>
        </w:tblPrEx>
        <w:trPr>
          <w:trHeight w:val="510"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14:paraId="6F42578C">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评定项目</w:t>
            </w:r>
          </w:p>
        </w:tc>
        <w:tc>
          <w:tcPr>
            <w:tcW w:w="1174" w:type="dxa"/>
            <w:tcBorders>
              <w:top w:val="single" w:color="auto" w:sz="4" w:space="0"/>
              <w:left w:val="nil"/>
              <w:bottom w:val="single" w:color="auto" w:sz="4" w:space="0"/>
              <w:right w:val="single" w:color="auto" w:sz="4" w:space="0"/>
            </w:tcBorders>
            <w:noWrap/>
            <w:vAlign w:val="center"/>
          </w:tcPr>
          <w:p w14:paraId="043EB387">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类别</w:t>
            </w:r>
          </w:p>
        </w:tc>
        <w:tc>
          <w:tcPr>
            <w:tcW w:w="11319" w:type="dxa"/>
            <w:tcBorders>
              <w:top w:val="single" w:color="auto" w:sz="4" w:space="0"/>
              <w:left w:val="nil"/>
              <w:bottom w:val="single" w:color="auto" w:sz="4" w:space="0"/>
              <w:right w:val="single" w:color="auto" w:sz="4" w:space="0"/>
            </w:tcBorders>
            <w:noWrap/>
            <w:vAlign w:val="center"/>
          </w:tcPr>
          <w:p w14:paraId="37EE686E">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评分标准</w:t>
            </w:r>
          </w:p>
        </w:tc>
        <w:tc>
          <w:tcPr>
            <w:tcW w:w="892" w:type="dxa"/>
            <w:tcBorders>
              <w:top w:val="single" w:color="auto" w:sz="4" w:space="0"/>
              <w:left w:val="nil"/>
              <w:bottom w:val="single" w:color="auto" w:sz="4" w:space="0"/>
              <w:right w:val="single" w:color="auto" w:sz="4" w:space="0"/>
            </w:tcBorders>
            <w:noWrap/>
            <w:vAlign w:val="center"/>
          </w:tcPr>
          <w:p w14:paraId="5B29821F">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分数</w:t>
            </w:r>
          </w:p>
        </w:tc>
      </w:tr>
      <w:tr w14:paraId="45E44FBC">
        <w:tblPrEx>
          <w:tblCellMar>
            <w:top w:w="0" w:type="dxa"/>
            <w:left w:w="108" w:type="dxa"/>
            <w:bottom w:w="0" w:type="dxa"/>
            <w:right w:w="108" w:type="dxa"/>
          </w:tblCellMar>
        </w:tblPrEx>
        <w:trPr>
          <w:trHeight w:val="2565" w:hRule="atLeast"/>
          <w:jc w:val="center"/>
        </w:trPr>
        <w:tc>
          <w:tcPr>
            <w:tcW w:w="1655" w:type="dxa"/>
            <w:vMerge w:val="restart"/>
            <w:tcBorders>
              <w:top w:val="nil"/>
              <w:left w:val="single" w:color="auto" w:sz="4" w:space="0"/>
              <w:bottom w:val="single" w:color="000000" w:sz="4" w:space="0"/>
              <w:right w:val="single" w:color="auto" w:sz="4" w:space="0"/>
            </w:tcBorders>
            <w:noWrap w:val="0"/>
            <w:vAlign w:val="center"/>
          </w:tcPr>
          <w:p w14:paraId="7D4D7406">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企业管理</w:t>
            </w:r>
            <w:r>
              <w:rPr>
                <w:rFonts w:hint="eastAsia" w:ascii="方正仿宋_GBK" w:hAnsi="方正仿宋_GBK" w:eastAsia="方正仿宋_GBK" w:cs="方正仿宋_GBK"/>
                <w:color w:val="000000"/>
                <w:kern w:val="0"/>
                <w:sz w:val="32"/>
                <w:szCs w:val="32"/>
                <w:highlight w:val="none"/>
              </w:rPr>
              <w:br w:type="textWrapping"/>
            </w:r>
            <w:r>
              <w:rPr>
                <w:rFonts w:hint="eastAsia" w:ascii="方正仿宋_GBK" w:hAnsi="方正仿宋_GBK" w:eastAsia="方正仿宋_GBK" w:cs="方正仿宋_GBK"/>
                <w:color w:val="000000"/>
                <w:kern w:val="0"/>
                <w:sz w:val="32"/>
                <w:szCs w:val="32"/>
                <w:highlight w:val="none"/>
              </w:rPr>
              <w:t>（</w:t>
            </w:r>
            <w:r>
              <w:rPr>
                <w:rFonts w:hint="default" w:ascii="Times New Roman" w:hAnsi="Times New Roman" w:eastAsia="方正仿宋_GBK" w:cs="Times New Roman"/>
                <w:color w:val="000000"/>
                <w:kern w:val="0"/>
                <w:sz w:val="32"/>
                <w:szCs w:val="32"/>
                <w:highlight w:val="none"/>
                <w:lang w:val="en-US" w:eastAsia="zh-CN"/>
              </w:rPr>
              <w:t>15</w:t>
            </w:r>
            <w:r>
              <w:rPr>
                <w:rFonts w:hint="eastAsia" w:ascii="方正仿宋_GBK" w:hAnsi="方正仿宋_GBK" w:eastAsia="方正仿宋_GBK" w:cs="方正仿宋_GBK"/>
                <w:color w:val="000000"/>
                <w:kern w:val="0"/>
                <w:sz w:val="32"/>
                <w:szCs w:val="32"/>
                <w:highlight w:val="none"/>
              </w:rPr>
              <w:t>分）</w:t>
            </w:r>
          </w:p>
        </w:tc>
        <w:tc>
          <w:tcPr>
            <w:tcW w:w="1174" w:type="dxa"/>
            <w:tcBorders>
              <w:top w:val="nil"/>
              <w:left w:val="nil"/>
              <w:bottom w:val="single" w:color="auto" w:sz="4" w:space="0"/>
              <w:right w:val="single" w:color="auto" w:sz="4" w:space="0"/>
            </w:tcBorders>
            <w:noWrap/>
            <w:vAlign w:val="center"/>
          </w:tcPr>
          <w:p w14:paraId="291EA1FE">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管理制度</w:t>
            </w:r>
          </w:p>
        </w:tc>
        <w:tc>
          <w:tcPr>
            <w:tcW w:w="11319" w:type="dxa"/>
            <w:tcBorders>
              <w:top w:val="nil"/>
              <w:left w:val="nil"/>
              <w:bottom w:val="single" w:color="auto" w:sz="4" w:space="0"/>
              <w:right w:val="single" w:color="auto" w:sz="4" w:space="0"/>
            </w:tcBorders>
            <w:noWrap w:val="0"/>
            <w:vAlign w:val="center"/>
          </w:tcPr>
          <w:p w14:paraId="27D2092A">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建立</w:t>
            </w:r>
            <w:r>
              <w:rPr>
                <w:rFonts w:hint="eastAsia" w:ascii="方正仿宋_GBK" w:hAnsi="方正仿宋_GBK" w:eastAsia="方正仿宋_GBK" w:cs="方正仿宋_GBK"/>
                <w:color w:val="000000"/>
                <w:kern w:val="0"/>
                <w:sz w:val="32"/>
                <w:szCs w:val="32"/>
                <w:highlight w:val="none"/>
                <w:lang w:val="en-US" w:eastAsia="zh-CN"/>
              </w:rPr>
              <w:t>科学完善的</w:t>
            </w:r>
            <w:r>
              <w:rPr>
                <w:rFonts w:hint="eastAsia" w:ascii="方正仿宋_GBK" w:hAnsi="方正仿宋_GBK" w:eastAsia="方正仿宋_GBK" w:cs="方正仿宋_GBK"/>
                <w:color w:val="000000"/>
                <w:kern w:val="0"/>
                <w:sz w:val="32"/>
                <w:szCs w:val="32"/>
                <w:highlight w:val="none"/>
              </w:rPr>
              <w:t>运营管理制度，并做好动态完善，缺失一项扣除2分，扣完为止。</w:t>
            </w:r>
            <w:r>
              <w:rPr>
                <w:rFonts w:hint="eastAsia" w:ascii="方正仿宋_GBK" w:hAnsi="方正仿宋_GBK" w:eastAsia="方正仿宋_GBK" w:cs="方正仿宋_GBK"/>
                <w:color w:val="000000"/>
                <w:kern w:val="0"/>
                <w:sz w:val="32"/>
                <w:szCs w:val="32"/>
                <w:highlight w:val="none"/>
              </w:rPr>
              <w:br w:type="textWrapping"/>
            </w:r>
            <w:r>
              <w:rPr>
                <w:rFonts w:hint="eastAsia" w:ascii="方正仿宋_GBK" w:hAnsi="方正仿宋_GBK" w:eastAsia="方正仿宋_GBK" w:cs="方正仿宋_GBK"/>
                <w:color w:val="000000"/>
                <w:kern w:val="0"/>
                <w:sz w:val="32"/>
                <w:szCs w:val="32"/>
                <w:highlight w:val="none"/>
              </w:rPr>
              <w:t>（</w:t>
            </w:r>
            <w:r>
              <w:rPr>
                <w:rFonts w:hint="eastAsia" w:ascii="Times New Roman" w:hAnsi="Times New Roman" w:eastAsia="方正仿宋_GBK" w:cs="Times New Roman"/>
                <w:color w:val="000000"/>
                <w:kern w:val="0"/>
                <w:sz w:val="32"/>
                <w:szCs w:val="32"/>
                <w:highlight w:val="none"/>
                <w:lang w:val="en-US" w:eastAsia="zh-CN"/>
              </w:rPr>
              <w:t>1</w:t>
            </w:r>
            <w:r>
              <w:rPr>
                <w:rFonts w:hint="eastAsia" w:ascii="方正仿宋_GBK" w:hAnsi="方正仿宋_GBK" w:eastAsia="方正仿宋_GBK" w:cs="方正仿宋_GBK"/>
                <w:color w:val="000000"/>
                <w:kern w:val="0"/>
                <w:sz w:val="32"/>
                <w:szCs w:val="32"/>
                <w:highlight w:val="none"/>
              </w:rPr>
              <w:t>）车辆管理制度。</w:t>
            </w:r>
            <w:r>
              <w:rPr>
                <w:rFonts w:hint="eastAsia" w:ascii="方正仿宋_GBK" w:hAnsi="方正仿宋_GBK" w:eastAsia="方正仿宋_GBK" w:cs="方正仿宋_GBK"/>
                <w:color w:val="000000"/>
                <w:kern w:val="0"/>
                <w:sz w:val="32"/>
                <w:szCs w:val="32"/>
                <w:highlight w:val="none"/>
              </w:rPr>
              <w:br w:type="textWrapping"/>
            </w:r>
            <w:r>
              <w:rPr>
                <w:rFonts w:hint="eastAsia" w:ascii="方正仿宋_GBK" w:hAnsi="方正仿宋_GBK" w:eastAsia="方正仿宋_GBK" w:cs="方正仿宋_GBK"/>
                <w:color w:val="000000"/>
                <w:kern w:val="0"/>
                <w:sz w:val="32"/>
                <w:szCs w:val="32"/>
                <w:highlight w:val="none"/>
              </w:rPr>
              <w:t>（</w:t>
            </w:r>
            <w:r>
              <w:rPr>
                <w:rFonts w:hint="eastAsia" w:ascii="Times New Roman" w:hAnsi="Times New Roman" w:eastAsia="方正仿宋_GBK" w:cs="Times New Roman"/>
                <w:color w:val="000000"/>
                <w:kern w:val="0"/>
                <w:sz w:val="32"/>
                <w:szCs w:val="32"/>
                <w:highlight w:val="none"/>
                <w:lang w:val="en-US" w:eastAsia="zh-CN"/>
              </w:rPr>
              <w:t>2</w:t>
            </w:r>
            <w:r>
              <w:rPr>
                <w:rFonts w:hint="eastAsia" w:ascii="方正仿宋_GBK" w:hAnsi="方正仿宋_GBK" w:eastAsia="方正仿宋_GBK" w:cs="方正仿宋_GBK"/>
                <w:color w:val="000000"/>
                <w:kern w:val="0"/>
                <w:sz w:val="32"/>
                <w:szCs w:val="32"/>
                <w:highlight w:val="none"/>
              </w:rPr>
              <w:t>）驾驶员管理制度</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color w:val="FF0000"/>
                <w:kern w:val="0"/>
                <w:sz w:val="32"/>
                <w:szCs w:val="32"/>
                <w:highlight w:val="none"/>
              </w:rPr>
              <w:br w:type="textWrapping"/>
            </w:r>
            <w:r>
              <w:rPr>
                <w:rFonts w:hint="eastAsia" w:ascii="方正仿宋_GBK" w:hAnsi="方正仿宋_GBK" w:eastAsia="方正仿宋_GBK" w:cs="方正仿宋_GBK"/>
                <w:kern w:val="0"/>
                <w:sz w:val="32"/>
                <w:szCs w:val="32"/>
                <w:highlight w:val="none"/>
              </w:rPr>
              <w:t>（</w:t>
            </w:r>
            <w:r>
              <w:rPr>
                <w:rFonts w:hint="eastAsia" w:ascii="Times New Roman" w:hAnsi="Times New Roman" w:eastAsia="方正仿宋_GBK" w:cs="Times New Roman"/>
                <w:color w:val="000000"/>
                <w:kern w:val="0"/>
                <w:sz w:val="32"/>
                <w:szCs w:val="32"/>
                <w:highlight w:val="none"/>
                <w:lang w:val="en-US" w:eastAsia="zh-CN"/>
              </w:rPr>
              <w:t>3</w:t>
            </w:r>
            <w:r>
              <w:rPr>
                <w:rFonts w:hint="eastAsia" w:ascii="方正仿宋_GBK" w:hAnsi="方正仿宋_GBK" w:eastAsia="方正仿宋_GBK" w:cs="方正仿宋_GBK"/>
                <w:kern w:val="0"/>
                <w:sz w:val="32"/>
                <w:szCs w:val="32"/>
                <w:highlight w:val="none"/>
              </w:rPr>
              <w:t>）平台数据库接入监管平台维护保障制度。</w:t>
            </w:r>
            <w:r>
              <w:rPr>
                <w:rFonts w:hint="eastAsia" w:ascii="方正仿宋_GBK" w:hAnsi="方正仿宋_GBK" w:eastAsia="方正仿宋_GBK" w:cs="方正仿宋_GBK"/>
                <w:kern w:val="0"/>
                <w:sz w:val="32"/>
                <w:szCs w:val="32"/>
                <w:highlight w:val="none"/>
              </w:rPr>
              <w:br w:type="textWrapping"/>
            </w:r>
            <w:r>
              <w:rPr>
                <w:rFonts w:hint="eastAsia" w:ascii="方正仿宋_GBK" w:hAnsi="方正仿宋_GBK" w:eastAsia="方正仿宋_GBK" w:cs="方正仿宋_GBK"/>
                <w:color w:val="000000"/>
                <w:kern w:val="0"/>
                <w:sz w:val="32"/>
                <w:szCs w:val="32"/>
                <w:highlight w:val="none"/>
              </w:rPr>
              <w:t>（</w:t>
            </w:r>
            <w:r>
              <w:rPr>
                <w:rFonts w:hint="eastAsia" w:ascii="Times New Roman" w:hAnsi="Times New Roman" w:eastAsia="方正仿宋_GBK" w:cs="Times New Roman"/>
                <w:color w:val="000000"/>
                <w:kern w:val="0"/>
                <w:sz w:val="32"/>
                <w:szCs w:val="32"/>
                <w:highlight w:val="none"/>
                <w:lang w:val="en-US" w:eastAsia="zh-CN"/>
              </w:rPr>
              <w:t>4</w:t>
            </w:r>
            <w:r>
              <w:rPr>
                <w:rFonts w:hint="eastAsia" w:ascii="方正仿宋_GBK" w:hAnsi="方正仿宋_GBK" w:eastAsia="方正仿宋_GBK" w:cs="方正仿宋_GBK"/>
                <w:color w:val="000000"/>
                <w:kern w:val="0"/>
                <w:sz w:val="32"/>
                <w:szCs w:val="32"/>
                <w:highlight w:val="none"/>
              </w:rPr>
              <w:t>）运价制定规则、动态调整系数及价格公示制度。</w:t>
            </w:r>
            <w:r>
              <w:rPr>
                <w:rFonts w:hint="eastAsia" w:ascii="方正仿宋_GBK" w:hAnsi="方正仿宋_GBK" w:eastAsia="方正仿宋_GBK" w:cs="方正仿宋_GBK"/>
                <w:color w:val="000000"/>
                <w:kern w:val="0"/>
                <w:sz w:val="32"/>
                <w:szCs w:val="32"/>
                <w:highlight w:val="none"/>
              </w:rPr>
              <w:br w:type="textWrapping"/>
            </w:r>
            <w:r>
              <w:rPr>
                <w:rFonts w:hint="eastAsia" w:ascii="方正仿宋_GBK" w:hAnsi="方正仿宋_GBK" w:eastAsia="方正仿宋_GBK" w:cs="方正仿宋_GBK"/>
                <w:color w:val="000000"/>
                <w:kern w:val="0"/>
                <w:sz w:val="32"/>
                <w:szCs w:val="32"/>
                <w:highlight w:val="none"/>
              </w:rPr>
              <w:t>（</w:t>
            </w:r>
            <w:r>
              <w:rPr>
                <w:rFonts w:hint="eastAsia" w:ascii="Times New Roman" w:hAnsi="Times New Roman" w:eastAsia="方正仿宋_GBK" w:cs="Times New Roman"/>
                <w:color w:val="000000"/>
                <w:kern w:val="0"/>
                <w:sz w:val="32"/>
                <w:szCs w:val="32"/>
                <w:highlight w:val="none"/>
                <w:lang w:val="en-US" w:eastAsia="zh-CN"/>
              </w:rPr>
              <w:t>5</w:t>
            </w:r>
            <w:r>
              <w:rPr>
                <w:rFonts w:hint="eastAsia" w:ascii="方正仿宋_GBK" w:hAnsi="方正仿宋_GBK" w:eastAsia="方正仿宋_GBK" w:cs="方正仿宋_GBK"/>
                <w:color w:val="000000"/>
                <w:kern w:val="0"/>
                <w:sz w:val="32"/>
                <w:szCs w:val="32"/>
                <w:highlight w:val="none"/>
              </w:rPr>
              <w:t>）服务投诉处理制度。</w:t>
            </w:r>
            <w:r>
              <w:rPr>
                <w:rFonts w:hint="eastAsia" w:ascii="方正仿宋_GBK" w:hAnsi="方正仿宋_GBK" w:eastAsia="方正仿宋_GBK" w:cs="方正仿宋_GBK"/>
                <w:color w:val="000000"/>
                <w:kern w:val="0"/>
                <w:sz w:val="32"/>
                <w:szCs w:val="32"/>
                <w:highlight w:val="none"/>
              </w:rPr>
              <w:br w:type="textWrapping"/>
            </w:r>
            <w:r>
              <w:rPr>
                <w:rFonts w:hint="eastAsia" w:ascii="方正仿宋_GBK" w:hAnsi="方正仿宋_GBK" w:eastAsia="方正仿宋_GBK" w:cs="方正仿宋_GBK"/>
                <w:color w:val="000000"/>
                <w:kern w:val="0"/>
                <w:sz w:val="32"/>
                <w:szCs w:val="32"/>
                <w:highlight w:val="none"/>
              </w:rPr>
              <w:t>（</w:t>
            </w:r>
            <w:r>
              <w:rPr>
                <w:rFonts w:hint="eastAsia" w:ascii="Times New Roman" w:hAnsi="Times New Roman" w:eastAsia="方正仿宋_GBK" w:cs="Times New Roman"/>
                <w:color w:val="000000"/>
                <w:kern w:val="0"/>
                <w:sz w:val="32"/>
                <w:szCs w:val="32"/>
                <w:highlight w:val="none"/>
                <w:lang w:val="en-US" w:eastAsia="zh-CN"/>
              </w:rPr>
              <w:t>6</w:t>
            </w:r>
            <w:r>
              <w:rPr>
                <w:rFonts w:hint="eastAsia" w:ascii="方正仿宋_GBK" w:hAnsi="方正仿宋_GBK" w:eastAsia="方正仿宋_GBK" w:cs="方正仿宋_GBK"/>
                <w:color w:val="000000"/>
                <w:kern w:val="0"/>
                <w:sz w:val="32"/>
                <w:szCs w:val="32"/>
                <w:highlight w:val="none"/>
              </w:rPr>
              <w:t>）服务质量保障及驾驶员服务质量评价结果公示制度。</w:t>
            </w:r>
            <w:r>
              <w:rPr>
                <w:rFonts w:hint="eastAsia" w:ascii="方正仿宋_GBK" w:hAnsi="方正仿宋_GBK" w:eastAsia="方正仿宋_GBK" w:cs="方正仿宋_GBK"/>
                <w:color w:val="000000"/>
                <w:kern w:val="0"/>
                <w:sz w:val="32"/>
                <w:szCs w:val="32"/>
                <w:highlight w:val="none"/>
              </w:rPr>
              <w:br w:type="textWrapping"/>
            </w:r>
            <w:r>
              <w:rPr>
                <w:rFonts w:hint="eastAsia" w:ascii="方正仿宋_GBK" w:hAnsi="方正仿宋_GBK" w:eastAsia="方正仿宋_GBK" w:cs="方正仿宋_GBK"/>
                <w:color w:val="000000"/>
                <w:kern w:val="0"/>
                <w:sz w:val="32"/>
                <w:szCs w:val="32"/>
                <w:highlight w:val="none"/>
              </w:rPr>
              <w:t>（</w:t>
            </w:r>
            <w:r>
              <w:rPr>
                <w:rFonts w:hint="eastAsia" w:ascii="Times New Roman" w:hAnsi="Times New Roman" w:eastAsia="方正仿宋_GBK" w:cs="Times New Roman"/>
                <w:color w:val="000000"/>
                <w:kern w:val="0"/>
                <w:sz w:val="32"/>
                <w:szCs w:val="32"/>
                <w:highlight w:val="none"/>
                <w:lang w:val="en-US" w:eastAsia="zh-CN"/>
              </w:rPr>
              <w:t>7</w:t>
            </w:r>
            <w:r>
              <w:rPr>
                <w:rFonts w:hint="eastAsia" w:ascii="方正仿宋_GBK" w:hAnsi="方正仿宋_GBK" w:eastAsia="方正仿宋_GBK" w:cs="方正仿宋_GBK"/>
                <w:color w:val="000000"/>
                <w:kern w:val="0"/>
                <w:sz w:val="32"/>
                <w:szCs w:val="32"/>
                <w:highlight w:val="none"/>
              </w:rPr>
              <w:t>）法律、法规、规章及规范性文件规定的其他制度。</w:t>
            </w:r>
          </w:p>
        </w:tc>
        <w:tc>
          <w:tcPr>
            <w:tcW w:w="892" w:type="dxa"/>
            <w:tcBorders>
              <w:top w:val="nil"/>
              <w:left w:val="nil"/>
              <w:bottom w:val="single" w:color="auto" w:sz="4" w:space="0"/>
              <w:right w:val="single" w:color="auto" w:sz="4" w:space="0"/>
            </w:tcBorders>
            <w:noWrap/>
            <w:vAlign w:val="center"/>
          </w:tcPr>
          <w:p w14:paraId="250C6444">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lang w:eastAsia="zh-CN"/>
              </w:rPr>
            </w:pPr>
            <w:r>
              <w:rPr>
                <w:rFonts w:hint="eastAsia" w:ascii="Times New Roman" w:hAnsi="Times New Roman" w:eastAsia="方正仿宋_GBK" w:cs="Times New Roman"/>
                <w:color w:val="000000"/>
                <w:kern w:val="0"/>
                <w:sz w:val="32"/>
                <w:szCs w:val="32"/>
                <w:highlight w:val="none"/>
                <w:lang w:val="en-US" w:eastAsia="zh-CN"/>
              </w:rPr>
              <w:t>6</w:t>
            </w:r>
          </w:p>
        </w:tc>
      </w:tr>
      <w:tr w14:paraId="40274B8B">
        <w:tblPrEx>
          <w:tblCellMar>
            <w:top w:w="0" w:type="dxa"/>
            <w:left w:w="108" w:type="dxa"/>
            <w:bottom w:w="0" w:type="dxa"/>
            <w:right w:w="108" w:type="dxa"/>
          </w:tblCellMar>
        </w:tblPrEx>
        <w:trPr>
          <w:trHeight w:val="1890" w:hRule="atLeast"/>
          <w:jc w:val="center"/>
        </w:trPr>
        <w:tc>
          <w:tcPr>
            <w:tcW w:w="1655" w:type="dxa"/>
            <w:vMerge w:val="continue"/>
            <w:tcBorders>
              <w:top w:val="nil"/>
              <w:left w:val="single" w:color="auto" w:sz="4" w:space="0"/>
              <w:bottom w:val="single" w:color="000000" w:sz="4" w:space="0"/>
              <w:right w:val="single" w:color="auto" w:sz="4" w:space="0"/>
            </w:tcBorders>
            <w:noWrap w:val="0"/>
            <w:vAlign w:val="center"/>
          </w:tcPr>
          <w:p w14:paraId="223CD90C">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rPr>
            </w:pPr>
          </w:p>
        </w:tc>
        <w:tc>
          <w:tcPr>
            <w:tcW w:w="1174" w:type="dxa"/>
            <w:tcBorders>
              <w:top w:val="nil"/>
              <w:left w:val="nil"/>
              <w:bottom w:val="single" w:color="auto" w:sz="4" w:space="0"/>
              <w:right w:val="single" w:color="auto" w:sz="4" w:space="0"/>
            </w:tcBorders>
            <w:noWrap/>
            <w:vAlign w:val="center"/>
          </w:tcPr>
          <w:p w14:paraId="42BCDAE2">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档案管理</w:t>
            </w:r>
          </w:p>
        </w:tc>
        <w:tc>
          <w:tcPr>
            <w:tcW w:w="11319" w:type="dxa"/>
            <w:tcBorders>
              <w:top w:val="nil"/>
              <w:left w:val="nil"/>
              <w:bottom w:val="single" w:color="auto" w:sz="4" w:space="0"/>
              <w:right w:val="single" w:color="auto" w:sz="4" w:space="0"/>
            </w:tcBorders>
            <w:noWrap w:val="0"/>
            <w:vAlign w:val="center"/>
          </w:tcPr>
          <w:p w14:paraId="1A294641">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kern w:val="0"/>
                <w:sz w:val="32"/>
                <w:szCs w:val="32"/>
                <w:highlight w:val="none"/>
              </w:rPr>
            </w:pPr>
            <w:r>
              <w:rPr>
                <w:rFonts w:hint="eastAsia" w:ascii="Times New Roman" w:hAnsi="Times New Roman" w:eastAsia="方正仿宋_GBK" w:cs="Times New Roman"/>
                <w:color w:val="000000"/>
                <w:kern w:val="0"/>
                <w:sz w:val="32"/>
                <w:szCs w:val="32"/>
                <w:highlight w:val="none"/>
                <w:lang w:val="en-US" w:eastAsia="zh-CN"/>
              </w:rPr>
              <w:t>1</w:t>
            </w:r>
            <w:r>
              <w:rPr>
                <w:rFonts w:hint="eastAsia" w:ascii="方正仿宋_GBK" w:hAnsi="方正仿宋_GBK" w:eastAsia="方正仿宋_GBK" w:cs="方正仿宋_GBK"/>
                <w:kern w:val="0"/>
                <w:sz w:val="32"/>
                <w:szCs w:val="32"/>
                <w:highlight w:val="none"/>
              </w:rPr>
              <w:t>、运营单位应当建立健全车辆技术档案及驾驶员服务质量信誉档案，</w:t>
            </w:r>
            <w:r>
              <w:rPr>
                <w:rFonts w:hint="eastAsia" w:ascii="方正仿宋_GBK" w:hAnsi="方正仿宋_GBK" w:eastAsia="方正仿宋_GBK" w:cs="方正仿宋_GBK"/>
                <w:kern w:val="0"/>
                <w:sz w:val="32"/>
                <w:szCs w:val="32"/>
                <w:highlight w:val="none"/>
                <w:lang w:val="en-US" w:eastAsia="zh-CN"/>
              </w:rPr>
              <w:t>抽查发现</w:t>
            </w:r>
            <w:r>
              <w:rPr>
                <w:rFonts w:hint="eastAsia" w:ascii="方正仿宋_GBK" w:hAnsi="方正仿宋_GBK" w:eastAsia="方正仿宋_GBK" w:cs="方正仿宋_GBK"/>
                <w:kern w:val="0"/>
                <w:sz w:val="32"/>
                <w:szCs w:val="32"/>
                <w:highlight w:val="none"/>
              </w:rPr>
              <w:t>档案每缺失一项扣</w:t>
            </w:r>
            <w:r>
              <w:rPr>
                <w:rFonts w:hint="eastAsia" w:ascii="Times New Roman" w:hAnsi="Times New Roman" w:eastAsia="方正仿宋_GBK" w:cs="Times New Roman"/>
                <w:color w:val="000000"/>
                <w:kern w:val="0"/>
                <w:sz w:val="32"/>
                <w:szCs w:val="32"/>
                <w:highlight w:val="none"/>
                <w:lang w:val="en-US" w:eastAsia="zh-CN"/>
              </w:rPr>
              <w:t>0.5</w:t>
            </w:r>
            <w:r>
              <w:rPr>
                <w:rFonts w:hint="eastAsia" w:ascii="方正仿宋_GBK" w:hAnsi="方正仿宋_GBK" w:eastAsia="方正仿宋_GBK" w:cs="方正仿宋_GBK"/>
                <w:kern w:val="0"/>
                <w:sz w:val="32"/>
                <w:szCs w:val="32"/>
                <w:highlight w:val="none"/>
              </w:rPr>
              <w:t>分，扣完为止。</w:t>
            </w:r>
            <w:r>
              <w:rPr>
                <w:rFonts w:hint="eastAsia" w:ascii="方正仿宋_GBK" w:hAnsi="方正仿宋_GBK" w:eastAsia="方正仿宋_GBK" w:cs="方正仿宋_GBK"/>
                <w:kern w:val="0"/>
                <w:sz w:val="32"/>
                <w:szCs w:val="32"/>
                <w:highlight w:val="none"/>
              </w:rPr>
              <w:br w:type="textWrapping"/>
            </w:r>
            <w:r>
              <w:rPr>
                <w:rFonts w:hint="eastAsia" w:ascii="Times New Roman" w:hAnsi="Times New Roman" w:eastAsia="方正仿宋_GBK" w:cs="Times New Roman"/>
                <w:color w:val="000000"/>
                <w:kern w:val="0"/>
                <w:sz w:val="32"/>
                <w:szCs w:val="32"/>
                <w:highlight w:val="none"/>
                <w:lang w:val="en-US" w:eastAsia="zh-CN"/>
              </w:rPr>
              <w:t>2</w:t>
            </w:r>
            <w:r>
              <w:rPr>
                <w:rFonts w:hint="eastAsia" w:ascii="方正仿宋_GBK" w:hAnsi="方正仿宋_GBK" w:eastAsia="方正仿宋_GBK" w:cs="方正仿宋_GBK"/>
                <w:kern w:val="0"/>
                <w:sz w:val="32"/>
                <w:szCs w:val="32"/>
                <w:highlight w:val="none"/>
              </w:rPr>
              <w:t>、对于接入平台的驾驶员或退出运营的，运营单位应当在</w:t>
            </w:r>
            <w:r>
              <w:rPr>
                <w:rFonts w:hint="eastAsia" w:ascii="Times New Roman" w:hAnsi="Times New Roman" w:eastAsia="方正仿宋_GBK" w:cs="Times New Roman"/>
                <w:color w:val="000000"/>
                <w:kern w:val="0"/>
                <w:sz w:val="32"/>
                <w:szCs w:val="32"/>
                <w:highlight w:val="none"/>
                <w:lang w:val="en-US" w:eastAsia="zh-CN"/>
              </w:rPr>
              <w:t>3</w:t>
            </w:r>
            <w:r>
              <w:rPr>
                <w:rFonts w:hint="eastAsia" w:ascii="方正仿宋_GBK" w:hAnsi="方正仿宋_GBK" w:eastAsia="方正仿宋_GBK" w:cs="方正仿宋_GBK"/>
                <w:kern w:val="0"/>
                <w:sz w:val="32"/>
                <w:szCs w:val="32"/>
                <w:highlight w:val="none"/>
              </w:rPr>
              <w:t>日内完成驾驶员注册、注销的报备，发现一起未报备的，扣</w:t>
            </w:r>
            <w:r>
              <w:rPr>
                <w:rFonts w:hint="eastAsia" w:ascii="Times New Roman" w:hAnsi="Times New Roman" w:eastAsia="方正仿宋_GBK" w:cs="Times New Roman"/>
                <w:color w:val="000000"/>
                <w:kern w:val="0"/>
                <w:sz w:val="32"/>
                <w:szCs w:val="32"/>
                <w:highlight w:val="none"/>
                <w:lang w:val="en-US" w:eastAsia="zh-CN"/>
              </w:rPr>
              <w:t>0.2</w:t>
            </w:r>
            <w:r>
              <w:rPr>
                <w:rFonts w:hint="eastAsia" w:ascii="方正仿宋_GBK" w:hAnsi="方正仿宋_GBK" w:eastAsia="方正仿宋_GBK" w:cs="方正仿宋_GBK"/>
                <w:kern w:val="0"/>
                <w:sz w:val="32"/>
                <w:szCs w:val="32"/>
                <w:highlight w:val="none"/>
              </w:rPr>
              <w:t>分。</w:t>
            </w:r>
            <w:r>
              <w:rPr>
                <w:rFonts w:hint="eastAsia" w:ascii="方正仿宋_GBK" w:hAnsi="方正仿宋_GBK" w:eastAsia="方正仿宋_GBK" w:cs="方正仿宋_GBK"/>
                <w:kern w:val="0"/>
                <w:sz w:val="32"/>
                <w:szCs w:val="32"/>
                <w:highlight w:val="none"/>
              </w:rPr>
              <w:br w:type="textWrapping"/>
            </w:r>
            <w:r>
              <w:rPr>
                <w:rFonts w:hint="eastAsia" w:ascii="Times New Roman" w:hAnsi="Times New Roman" w:eastAsia="方正仿宋_GBK" w:cs="Times New Roman"/>
                <w:color w:val="000000"/>
                <w:kern w:val="0"/>
                <w:sz w:val="32"/>
                <w:szCs w:val="32"/>
                <w:highlight w:val="none"/>
                <w:lang w:val="en-US" w:eastAsia="zh-CN"/>
              </w:rPr>
              <w:t>3</w:t>
            </w:r>
            <w:r>
              <w:rPr>
                <w:rFonts w:hint="eastAsia" w:ascii="方正仿宋_GBK" w:hAnsi="方正仿宋_GBK" w:eastAsia="方正仿宋_GBK" w:cs="方正仿宋_GBK"/>
                <w:kern w:val="0"/>
                <w:sz w:val="32"/>
                <w:szCs w:val="32"/>
                <w:highlight w:val="none"/>
              </w:rPr>
              <w:t>、按照行业管理部门工作要求落实道路运输证年度审验工作，保障车辆运营安全。发现一起超期未审验的，扣</w:t>
            </w:r>
            <w:r>
              <w:rPr>
                <w:rFonts w:hint="eastAsia" w:ascii="Times New Roman" w:hAnsi="Times New Roman" w:eastAsia="方正仿宋_GBK" w:cs="Times New Roman"/>
                <w:color w:val="000000"/>
                <w:kern w:val="0"/>
                <w:sz w:val="32"/>
                <w:szCs w:val="32"/>
                <w:highlight w:val="none"/>
                <w:lang w:val="en-US" w:eastAsia="zh-CN"/>
              </w:rPr>
              <w:t>0.2</w:t>
            </w:r>
            <w:r>
              <w:rPr>
                <w:rFonts w:hint="eastAsia" w:ascii="方正仿宋_GBK" w:hAnsi="方正仿宋_GBK" w:eastAsia="方正仿宋_GBK" w:cs="方正仿宋_GBK"/>
                <w:kern w:val="0"/>
                <w:sz w:val="32"/>
                <w:szCs w:val="32"/>
                <w:highlight w:val="none"/>
              </w:rPr>
              <w:t>分。</w:t>
            </w:r>
          </w:p>
        </w:tc>
        <w:tc>
          <w:tcPr>
            <w:tcW w:w="892" w:type="dxa"/>
            <w:tcBorders>
              <w:top w:val="nil"/>
              <w:left w:val="nil"/>
              <w:bottom w:val="single" w:color="auto" w:sz="4" w:space="0"/>
              <w:right w:val="single" w:color="auto" w:sz="4" w:space="0"/>
            </w:tcBorders>
            <w:noWrap/>
            <w:vAlign w:val="center"/>
          </w:tcPr>
          <w:p w14:paraId="7251424A">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FF0000"/>
                <w:kern w:val="0"/>
                <w:sz w:val="32"/>
                <w:szCs w:val="32"/>
                <w:highlight w:val="none"/>
                <w:lang w:eastAsia="zh-CN"/>
              </w:rPr>
            </w:pPr>
            <w:r>
              <w:rPr>
                <w:rFonts w:hint="eastAsia" w:ascii="Times New Roman" w:hAnsi="Times New Roman" w:eastAsia="方正仿宋_GBK" w:cs="Times New Roman"/>
                <w:color w:val="000000"/>
                <w:kern w:val="0"/>
                <w:sz w:val="32"/>
                <w:szCs w:val="32"/>
                <w:highlight w:val="none"/>
                <w:lang w:val="en-US" w:eastAsia="zh-CN"/>
              </w:rPr>
              <w:t>4</w:t>
            </w:r>
          </w:p>
        </w:tc>
      </w:tr>
      <w:tr w14:paraId="4B2FB29D">
        <w:tblPrEx>
          <w:tblCellMar>
            <w:top w:w="0" w:type="dxa"/>
            <w:left w:w="108" w:type="dxa"/>
            <w:bottom w:w="0" w:type="dxa"/>
            <w:right w:w="108" w:type="dxa"/>
          </w:tblCellMar>
        </w:tblPrEx>
        <w:trPr>
          <w:trHeight w:val="885" w:hRule="atLeast"/>
          <w:jc w:val="center"/>
        </w:trPr>
        <w:tc>
          <w:tcPr>
            <w:tcW w:w="1655" w:type="dxa"/>
            <w:vMerge w:val="continue"/>
            <w:tcBorders>
              <w:top w:val="nil"/>
              <w:left w:val="single" w:color="auto" w:sz="4" w:space="0"/>
              <w:bottom w:val="single" w:color="000000" w:sz="4" w:space="0"/>
              <w:right w:val="single" w:color="auto" w:sz="4" w:space="0"/>
            </w:tcBorders>
            <w:noWrap w:val="0"/>
            <w:vAlign w:val="center"/>
          </w:tcPr>
          <w:p w14:paraId="60E79333">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rPr>
            </w:pPr>
          </w:p>
        </w:tc>
        <w:tc>
          <w:tcPr>
            <w:tcW w:w="1174" w:type="dxa"/>
            <w:tcBorders>
              <w:top w:val="nil"/>
              <w:left w:val="nil"/>
              <w:bottom w:val="single" w:color="auto" w:sz="4" w:space="0"/>
              <w:right w:val="single" w:color="auto" w:sz="4" w:space="0"/>
            </w:tcBorders>
            <w:noWrap/>
            <w:vAlign w:val="center"/>
          </w:tcPr>
          <w:p w14:paraId="622DA7D0">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办公场地</w:t>
            </w:r>
          </w:p>
        </w:tc>
        <w:tc>
          <w:tcPr>
            <w:tcW w:w="11319" w:type="dxa"/>
            <w:tcBorders>
              <w:top w:val="nil"/>
              <w:left w:val="nil"/>
              <w:bottom w:val="single" w:color="auto" w:sz="4" w:space="0"/>
              <w:right w:val="single" w:color="auto" w:sz="4" w:space="0"/>
            </w:tcBorders>
            <w:noWrap w:val="0"/>
            <w:vAlign w:val="center"/>
          </w:tcPr>
          <w:p w14:paraId="52B7AA11">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办公场所面积应当与运营单位运营规模相适应，设置独立办公区域，便于开展驾驶员业务办理、政策咨询等日常事务，满足日常办公需求，不满足条件的扣除</w:t>
            </w:r>
            <w:r>
              <w:rPr>
                <w:rFonts w:hint="eastAsia" w:ascii="Times New Roman" w:hAnsi="Times New Roman" w:eastAsia="方正仿宋_GBK" w:cs="Times New Roman"/>
                <w:color w:val="000000"/>
                <w:kern w:val="0"/>
                <w:sz w:val="32"/>
                <w:szCs w:val="32"/>
                <w:highlight w:val="none"/>
                <w:lang w:val="en-US" w:eastAsia="zh-CN"/>
              </w:rPr>
              <w:t>2</w:t>
            </w:r>
            <w:r>
              <w:rPr>
                <w:rFonts w:hint="eastAsia" w:ascii="方正仿宋_GBK" w:hAnsi="方正仿宋_GBK" w:eastAsia="方正仿宋_GBK" w:cs="方正仿宋_GBK"/>
                <w:kern w:val="0"/>
                <w:sz w:val="32"/>
                <w:szCs w:val="32"/>
                <w:highlight w:val="none"/>
              </w:rPr>
              <w:t>分。</w:t>
            </w:r>
          </w:p>
        </w:tc>
        <w:tc>
          <w:tcPr>
            <w:tcW w:w="892" w:type="dxa"/>
            <w:tcBorders>
              <w:top w:val="nil"/>
              <w:left w:val="nil"/>
              <w:bottom w:val="single" w:color="auto" w:sz="4" w:space="0"/>
              <w:right w:val="single" w:color="auto" w:sz="4" w:space="0"/>
            </w:tcBorders>
            <w:noWrap/>
            <w:vAlign w:val="center"/>
          </w:tcPr>
          <w:p w14:paraId="344F3E32">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Times New Roman" w:hAnsi="Times New Roman" w:eastAsia="方正仿宋_GBK" w:cs="Times New Roman"/>
                <w:color w:val="000000"/>
                <w:kern w:val="0"/>
                <w:sz w:val="32"/>
                <w:szCs w:val="32"/>
                <w:highlight w:val="none"/>
                <w:lang w:val="en-US" w:eastAsia="zh-CN"/>
              </w:rPr>
              <w:t>2</w:t>
            </w:r>
          </w:p>
        </w:tc>
      </w:tr>
      <w:tr w14:paraId="465E524C">
        <w:tblPrEx>
          <w:tblCellMar>
            <w:top w:w="0" w:type="dxa"/>
            <w:left w:w="108" w:type="dxa"/>
            <w:bottom w:w="0" w:type="dxa"/>
            <w:right w:w="108" w:type="dxa"/>
          </w:tblCellMar>
        </w:tblPrEx>
        <w:trPr>
          <w:trHeight w:val="440" w:hRule="atLeast"/>
          <w:jc w:val="center"/>
        </w:trPr>
        <w:tc>
          <w:tcPr>
            <w:tcW w:w="1655" w:type="dxa"/>
            <w:vMerge w:val="continue"/>
            <w:tcBorders>
              <w:top w:val="nil"/>
              <w:left w:val="single" w:color="auto" w:sz="4" w:space="0"/>
              <w:bottom w:val="single" w:color="auto" w:sz="4" w:space="0"/>
              <w:right w:val="single" w:color="auto" w:sz="4" w:space="0"/>
            </w:tcBorders>
            <w:noWrap w:val="0"/>
            <w:vAlign w:val="center"/>
          </w:tcPr>
          <w:p w14:paraId="7C571ED0">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rPr>
            </w:pPr>
          </w:p>
        </w:tc>
        <w:tc>
          <w:tcPr>
            <w:tcW w:w="1174" w:type="dxa"/>
            <w:tcBorders>
              <w:top w:val="nil"/>
              <w:left w:val="nil"/>
              <w:bottom w:val="single" w:color="auto" w:sz="4" w:space="0"/>
              <w:right w:val="single" w:color="auto" w:sz="4" w:space="0"/>
            </w:tcBorders>
            <w:noWrap/>
            <w:vAlign w:val="center"/>
          </w:tcPr>
          <w:p w14:paraId="05462F97">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管理人员</w:t>
            </w:r>
          </w:p>
        </w:tc>
        <w:tc>
          <w:tcPr>
            <w:tcW w:w="11319" w:type="dxa"/>
            <w:tcBorders>
              <w:top w:val="nil"/>
              <w:left w:val="nil"/>
              <w:bottom w:val="single" w:color="auto" w:sz="4" w:space="0"/>
              <w:right w:val="single" w:color="auto" w:sz="4" w:space="0"/>
            </w:tcBorders>
            <w:noWrap w:val="0"/>
            <w:vAlign w:val="center"/>
          </w:tcPr>
          <w:p w14:paraId="3685877A">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运营单位应当在本市配备与运营规模相适应的运营管理工作人员，包括运营单位负责人、运营管理、</w:t>
            </w:r>
            <w:r>
              <w:rPr>
                <w:rFonts w:hint="eastAsia" w:ascii="方正仿宋_GBK" w:hAnsi="方正仿宋_GBK" w:eastAsia="方正仿宋_GBK" w:cs="方正仿宋_GBK"/>
                <w:kern w:val="0"/>
                <w:sz w:val="32"/>
                <w:szCs w:val="32"/>
                <w:highlight w:val="none"/>
                <w:lang w:val="en-US" w:eastAsia="zh-CN"/>
              </w:rPr>
              <w:t>安全管理、</w:t>
            </w:r>
            <w:r>
              <w:rPr>
                <w:rFonts w:hint="eastAsia" w:ascii="方正仿宋_GBK" w:hAnsi="方正仿宋_GBK" w:eastAsia="方正仿宋_GBK" w:cs="方正仿宋_GBK"/>
                <w:kern w:val="0"/>
                <w:sz w:val="32"/>
                <w:szCs w:val="32"/>
                <w:highlight w:val="none"/>
              </w:rPr>
              <w:t>投诉处理等工作人员，不满足条件的扣除</w:t>
            </w:r>
            <w:r>
              <w:rPr>
                <w:rFonts w:hint="eastAsia" w:ascii="Times New Roman" w:hAnsi="Times New Roman" w:eastAsia="方正仿宋_GBK" w:cs="Times New Roman"/>
                <w:color w:val="000000"/>
                <w:kern w:val="0"/>
                <w:sz w:val="32"/>
                <w:szCs w:val="32"/>
                <w:highlight w:val="none"/>
                <w:lang w:val="en-US" w:eastAsia="zh-CN"/>
              </w:rPr>
              <w:t>3</w:t>
            </w:r>
            <w:r>
              <w:rPr>
                <w:rFonts w:hint="eastAsia" w:ascii="方正仿宋_GBK" w:hAnsi="方正仿宋_GBK" w:eastAsia="方正仿宋_GBK" w:cs="方正仿宋_GBK"/>
                <w:kern w:val="0"/>
                <w:sz w:val="32"/>
                <w:szCs w:val="32"/>
                <w:highlight w:val="none"/>
              </w:rPr>
              <w:t>分。</w:t>
            </w:r>
            <w:r>
              <w:rPr>
                <w:rFonts w:hint="eastAsia" w:ascii="方正仿宋_GBK" w:hAnsi="方正仿宋_GBK" w:eastAsia="方正仿宋_GBK" w:cs="方正仿宋_GBK"/>
                <w:kern w:val="0"/>
                <w:sz w:val="32"/>
                <w:szCs w:val="32"/>
                <w:highlight w:val="none"/>
              </w:rPr>
              <w:br w:type="textWrapping"/>
            </w:r>
            <w:r>
              <w:rPr>
                <w:rFonts w:hint="eastAsia" w:ascii="方正仿宋_GBK" w:hAnsi="方正仿宋_GBK" w:eastAsia="方正仿宋_GBK" w:cs="方正仿宋_GBK"/>
                <w:kern w:val="0"/>
                <w:sz w:val="32"/>
                <w:szCs w:val="32"/>
                <w:highlight w:val="none"/>
              </w:rPr>
              <w:t>运营单位负责人不得兼职且应常驻本市办公，负责运营单位全面工作，为运营单位安全生产第一责任人。</w:t>
            </w:r>
          </w:p>
        </w:tc>
        <w:tc>
          <w:tcPr>
            <w:tcW w:w="892" w:type="dxa"/>
            <w:tcBorders>
              <w:top w:val="nil"/>
              <w:left w:val="nil"/>
              <w:bottom w:val="single" w:color="auto" w:sz="4" w:space="0"/>
              <w:right w:val="single" w:color="auto" w:sz="4" w:space="0"/>
            </w:tcBorders>
            <w:noWrap/>
            <w:vAlign w:val="center"/>
          </w:tcPr>
          <w:p w14:paraId="2C92196B">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lang w:eastAsia="zh-CN"/>
              </w:rPr>
            </w:pPr>
            <w:r>
              <w:rPr>
                <w:rFonts w:hint="eastAsia" w:ascii="Times New Roman" w:hAnsi="Times New Roman" w:eastAsia="方正仿宋_GBK" w:cs="Times New Roman"/>
                <w:color w:val="000000"/>
                <w:kern w:val="0"/>
                <w:sz w:val="32"/>
                <w:szCs w:val="32"/>
                <w:highlight w:val="none"/>
                <w:lang w:val="en-US" w:eastAsia="zh-CN"/>
              </w:rPr>
              <w:t>3</w:t>
            </w:r>
          </w:p>
        </w:tc>
      </w:tr>
      <w:tr w14:paraId="72AC9ED6">
        <w:tblPrEx>
          <w:tblCellMar>
            <w:top w:w="0" w:type="dxa"/>
            <w:left w:w="108" w:type="dxa"/>
            <w:bottom w:w="0" w:type="dxa"/>
            <w:right w:w="108" w:type="dxa"/>
          </w:tblCellMar>
        </w:tblPrEx>
        <w:trPr>
          <w:trHeight w:val="2273" w:hRule="atLeast"/>
          <w:jc w:val="center"/>
        </w:trPr>
        <w:tc>
          <w:tcPr>
            <w:tcW w:w="1655" w:type="dxa"/>
            <w:vMerge w:val="restart"/>
            <w:tcBorders>
              <w:top w:val="single" w:color="auto" w:sz="4" w:space="0"/>
              <w:left w:val="single" w:color="auto" w:sz="4" w:space="0"/>
              <w:bottom w:val="single" w:color="auto" w:sz="4" w:space="0"/>
              <w:right w:val="single" w:color="auto" w:sz="4" w:space="0"/>
            </w:tcBorders>
            <w:noWrap w:val="0"/>
            <w:vAlign w:val="center"/>
          </w:tcPr>
          <w:p w14:paraId="2F1DB0D1">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安全运营</w:t>
            </w:r>
            <w:r>
              <w:rPr>
                <w:rFonts w:hint="eastAsia" w:ascii="方正仿宋_GBK" w:hAnsi="方正仿宋_GBK" w:eastAsia="方正仿宋_GBK" w:cs="方正仿宋_GBK"/>
                <w:color w:val="000000"/>
                <w:kern w:val="0"/>
                <w:sz w:val="32"/>
                <w:szCs w:val="32"/>
                <w:highlight w:val="none"/>
              </w:rPr>
              <w:br w:type="textWrapping"/>
            </w:r>
            <w:r>
              <w:rPr>
                <w:rFonts w:hint="eastAsia" w:ascii="方正仿宋_GBK" w:hAnsi="方正仿宋_GBK" w:eastAsia="方正仿宋_GBK" w:cs="方正仿宋_GBK"/>
                <w:color w:val="000000"/>
                <w:kern w:val="0"/>
                <w:sz w:val="32"/>
                <w:szCs w:val="32"/>
                <w:highlight w:val="none"/>
              </w:rPr>
              <w:t>（</w:t>
            </w:r>
            <w:r>
              <w:rPr>
                <w:rFonts w:hint="eastAsia" w:ascii="Times New Roman" w:hAnsi="Times New Roman" w:eastAsia="方正仿宋_GBK" w:cs="Times New Roman"/>
                <w:color w:val="000000"/>
                <w:kern w:val="0"/>
                <w:sz w:val="32"/>
                <w:szCs w:val="32"/>
                <w:highlight w:val="none"/>
                <w:lang w:val="en-US" w:eastAsia="zh-CN"/>
              </w:rPr>
              <w:t>25</w:t>
            </w:r>
            <w:r>
              <w:rPr>
                <w:rFonts w:hint="eastAsia" w:ascii="方正仿宋_GBK" w:hAnsi="方正仿宋_GBK" w:eastAsia="方正仿宋_GBK" w:cs="方正仿宋_GBK"/>
                <w:color w:val="000000"/>
                <w:kern w:val="0"/>
                <w:sz w:val="32"/>
                <w:szCs w:val="32"/>
                <w:highlight w:val="none"/>
              </w:rPr>
              <w:t>分）</w:t>
            </w:r>
          </w:p>
        </w:tc>
        <w:tc>
          <w:tcPr>
            <w:tcW w:w="1174" w:type="dxa"/>
            <w:tcBorders>
              <w:top w:val="single" w:color="auto" w:sz="4" w:space="0"/>
              <w:left w:val="single" w:color="auto" w:sz="4" w:space="0"/>
              <w:bottom w:val="single" w:color="auto" w:sz="4" w:space="0"/>
              <w:right w:val="single" w:color="auto" w:sz="4" w:space="0"/>
            </w:tcBorders>
            <w:noWrap/>
            <w:vAlign w:val="center"/>
          </w:tcPr>
          <w:p w14:paraId="5098101A">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安全主体责任</w:t>
            </w:r>
          </w:p>
        </w:tc>
        <w:tc>
          <w:tcPr>
            <w:tcW w:w="11319" w:type="dxa"/>
            <w:tcBorders>
              <w:top w:val="single" w:color="auto" w:sz="4" w:space="0"/>
              <w:left w:val="single" w:color="auto" w:sz="4" w:space="0"/>
              <w:bottom w:val="single" w:color="auto" w:sz="4" w:space="0"/>
              <w:right w:val="single" w:color="auto" w:sz="4" w:space="0"/>
            </w:tcBorders>
            <w:noWrap w:val="0"/>
            <w:vAlign w:val="center"/>
          </w:tcPr>
          <w:p w14:paraId="18CF3DBE">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建立健全各项安全生产管理制度 ，并积极履行自身安全生产主体责任 ，以下各项缺失一项扣除</w:t>
            </w:r>
            <w:r>
              <w:rPr>
                <w:rFonts w:hint="eastAsia" w:ascii="Times New Roman" w:hAnsi="Times New Roman" w:eastAsia="方正仿宋_GBK" w:cs="Times New Roman"/>
                <w:color w:val="000000"/>
                <w:kern w:val="0"/>
                <w:sz w:val="32"/>
                <w:szCs w:val="32"/>
                <w:highlight w:val="none"/>
                <w:lang w:val="en-US" w:eastAsia="zh-CN"/>
              </w:rPr>
              <w:t>1</w:t>
            </w:r>
            <w:r>
              <w:rPr>
                <w:rFonts w:hint="eastAsia" w:ascii="方正仿宋_GBK" w:hAnsi="方正仿宋_GBK" w:eastAsia="方正仿宋_GBK" w:cs="方正仿宋_GBK"/>
                <w:kern w:val="0"/>
                <w:sz w:val="32"/>
                <w:szCs w:val="32"/>
                <w:highlight w:val="none"/>
              </w:rPr>
              <w:t>分，扣完为止。</w:t>
            </w:r>
            <w:r>
              <w:rPr>
                <w:rFonts w:hint="eastAsia" w:ascii="方正仿宋_GBK" w:hAnsi="方正仿宋_GBK" w:eastAsia="方正仿宋_GBK" w:cs="方正仿宋_GBK"/>
                <w:kern w:val="0"/>
                <w:sz w:val="32"/>
                <w:szCs w:val="32"/>
                <w:highlight w:val="none"/>
              </w:rPr>
              <w:br w:type="textWrapping"/>
            </w:r>
            <w:r>
              <w:rPr>
                <w:rFonts w:hint="eastAsia" w:ascii="方正仿宋_GBK" w:hAnsi="方正仿宋_GBK" w:eastAsia="方正仿宋_GBK" w:cs="方正仿宋_GBK"/>
                <w:kern w:val="0"/>
                <w:sz w:val="32"/>
                <w:szCs w:val="32"/>
                <w:highlight w:val="none"/>
              </w:rPr>
              <w:t>（</w:t>
            </w:r>
            <w:r>
              <w:rPr>
                <w:rFonts w:hint="eastAsia" w:ascii="Times New Roman" w:hAnsi="Times New Roman" w:eastAsia="方正仿宋_GBK" w:cs="Times New Roman"/>
                <w:color w:val="000000"/>
                <w:kern w:val="0"/>
                <w:sz w:val="32"/>
                <w:szCs w:val="32"/>
                <w:highlight w:val="none"/>
                <w:lang w:val="en-US" w:eastAsia="zh-CN"/>
              </w:rPr>
              <w:t>1</w:t>
            </w:r>
            <w:r>
              <w:rPr>
                <w:rFonts w:hint="eastAsia" w:ascii="方正仿宋_GBK" w:hAnsi="方正仿宋_GBK" w:eastAsia="方正仿宋_GBK" w:cs="方正仿宋_GBK"/>
                <w:kern w:val="0"/>
                <w:sz w:val="32"/>
                <w:szCs w:val="32"/>
                <w:highlight w:val="none"/>
              </w:rPr>
              <w:t>）企业综合应急预案。</w:t>
            </w:r>
            <w:r>
              <w:rPr>
                <w:rFonts w:hint="eastAsia" w:ascii="方正仿宋_GBK" w:hAnsi="方正仿宋_GBK" w:eastAsia="方正仿宋_GBK" w:cs="方正仿宋_GBK"/>
                <w:kern w:val="0"/>
                <w:sz w:val="32"/>
                <w:szCs w:val="32"/>
                <w:highlight w:val="none"/>
              </w:rPr>
              <w:br w:type="textWrapping"/>
            </w:r>
            <w:r>
              <w:rPr>
                <w:rFonts w:hint="eastAsia" w:ascii="方正仿宋_GBK" w:hAnsi="方正仿宋_GBK" w:eastAsia="方正仿宋_GBK" w:cs="方正仿宋_GBK"/>
                <w:kern w:val="0"/>
                <w:sz w:val="32"/>
                <w:szCs w:val="32"/>
                <w:highlight w:val="none"/>
              </w:rPr>
              <w:t>（</w:t>
            </w:r>
            <w:r>
              <w:rPr>
                <w:rFonts w:hint="eastAsia" w:ascii="Times New Roman" w:hAnsi="Times New Roman" w:eastAsia="方正仿宋_GBK" w:cs="Times New Roman"/>
                <w:color w:val="000000"/>
                <w:kern w:val="0"/>
                <w:sz w:val="32"/>
                <w:szCs w:val="32"/>
                <w:highlight w:val="none"/>
                <w:lang w:val="en-US" w:eastAsia="zh-CN"/>
              </w:rPr>
              <w:t>2</w:t>
            </w:r>
            <w:r>
              <w:rPr>
                <w:rFonts w:hint="eastAsia" w:ascii="方正仿宋_GBK" w:hAnsi="方正仿宋_GBK" w:eastAsia="方正仿宋_GBK" w:cs="方正仿宋_GBK"/>
                <w:kern w:val="0"/>
                <w:sz w:val="32"/>
                <w:szCs w:val="32"/>
                <w:highlight w:val="none"/>
              </w:rPr>
              <w:t>）卫星定位与报警装置及信息管理制度。</w:t>
            </w:r>
            <w:r>
              <w:rPr>
                <w:rFonts w:hint="eastAsia" w:ascii="方正仿宋_GBK" w:hAnsi="方正仿宋_GBK" w:eastAsia="方正仿宋_GBK" w:cs="方正仿宋_GBK"/>
                <w:kern w:val="0"/>
                <w:sz w:val="32"/>
                <w:szCs w:val="32"/>
                <w:highlight w:val="none"/>
              </w:rPr>
              <w:br w:type="textWrapping"/>
            </w:r>
            <w:r>
              <w:rPr>
                <w:rFonts w:hint="eastAsia" w:ascii="方正仿宋_GBK" w:hAnsi="方正仿宋_GBK" w:eastAsia="方正仿宋_GBK" w:cs="方正仿宋_GBK"/>
                <w:kern w:val="0"/>
                <w:sz w:val="32"/>
                <w:szCs w:val="32"/>
                <w:highlight w:val="none"/>
              </w:rPr>
              <w:t>（</w:t>
            </w:r>
            <w:r>
              <w:rPr>
                <w:rFonts w:hint="eastAsia" w:ascii="Times New Roman" w:hAnsi="Times New Roman" w:eastAsia="方正仿宋_GBK" w:cs="Times New Roman"/>
                <w:color w:val="000000"/>
                <w:kern w:val="0"/>
                <w:sz w:val="32"/>
                <w:szCs w:val="32"/>
                <w:highlight w:val="none"/>
                <w:lang w:val="en-US" w:eastAsia="zh-CN"/>
              </w:rPr>
              <w:t>3</w:t>
            </w:r>
            <w:r>
              <w:rPr>
                <w:rFonts w:hint="eastAsia" w:ascii="方正仿宋_GBK" w:hAnsi="方正仿宋_GBK" w:eastAsia="方正仿宋_GBK" w:cs="方正仿宋_GBK"/>
                <w:kern w:val="0"/>
                <w:sz w:val="32"/>
                <w:szCs w:val="32"/>
                <w:highlight w:val="none"/>
              </w:rPr>
              <w:t>）信息安全及乘客隐私保护制度。</w:t>
            </w:r>
            <w:r>
              <w:rPr>
                <w:rFonts w:hint="eastAsia" w:ascii="方正仿宋_GBK" w:hAnsi="方正仿宋_GBK" w:eastAsia="方正仿宋_GBK" w:cs="方正仿宋_GBK"/>
                <w:kern w:val="0"/>
                <w:sz w:val="32"/>
                <w:szCs w:val="32"/>
                <w:highlight w:val="none"/>
              </w:rPr>
              <w:br w:type="textWrapping"/>
            </w:r>
            <w:r>
              <w:rPr>
                <w:rFonts w:hint="eastAsia" w:ascii="方正仿宋_GBK" w:hAnsi="方正仿宋_GBK" w:eastAsia="方正仿宋_GBK" w:cs="方正仿宋_GBK"/>
                <w:kern w:val="0"/>
                <w:sz w:val="32"/>
                <w:szCs w:val="32"/>
                <w:highlight w:val="none"/>
              </w:rPr>
              <w:t>（</w:t>
            </w:r>
            <w:r>
              <w:rPr>
                <w:rFonts w:hint="eastAsia" w:ascii="Times New Roman" w:hAnsi="Times New Roman" w:eastAsia="方正仿宋_GBK" w:cs="Times New Roman"/>
                <w:color w:val="000000"/>
                <w:kern w:val="0"/>
                <w:sz w:val="32"/>
                <w:szCs w:val="32"/>
                <w:highlight w:val="none"/>
                <w:lang w:val="en-US" w:eastAsia="zh-CN"/>
              </w:rPr>
              <w:t>4</w:t>
            </w:r>
            <w:r>
              <w:rPr>
                <w:rFonts w:hint="eastAsia" w:ascii="方正仿宋_GBK" w:hAnsi="方正仿宋_GBK" w:eastAsia="方正仿宋_GBK" w:cs="方正仿宋_GBK"/>
                <w:kern w:val="0"/>
                <w:sz w:val="32"/>
                <w:szCs w:val="32"/>
                <w:highlight w:val="none"/>
              </w:rPr>
              <w:t>）车辆、乘客保险公示及交通责任事故处理制度。</w:t>
            </w:r>
            <w:r>
              <w:rPr>
                <w:rFonts w:hint="eastAsia" w:ascii="方正仿宋_GBK" w:hAnsi="方正仿宋_GBK" w:eastAsia="方正仿宋_GBK" w:cs="方正仿宋_GBK"/>
                <w:kern w:val="0"/>
                <w:sz w:val="32"/>
                <w:szCs w:val="32"/>
                <w:highlight w:val="none"/>
              </w:rPr>
              <w:br w:type="textWrapping"/>
            </w:r>
            <w:r>
              <w:rPr>
                <w:rFonts w:hint="eastAsia" w:ascii="方正仿宋_GBK" w:hAnsi="方正仿宋_GBK" w:eastAsia="方正仿宋_GBK" w:cs="方正仿宋_GBK"/>
                <w:kern w:val="0"/>
                <w:sz w:val="32"/>
                <w:szCs w:val="32"/>
                <w:highlight w:val="none"/>
              </w:rPr>
              <w:t>（</w:t>
            </w:r>
            <w:r>
              <w:rPr>
                <w:rFonts w:hint="eastAsia" w:ascii="Times New Roman" w:hAnsi="Times New Roman" w:eastAsia="方正仿宋_GBK" w:cs="Times New Roman"/>
                <w:color w:val="000000"/>
                <w:kern w:val="0"/>
                <w:sz w:val="32"/>
                <w:szCs w:val="32"/>
                <w:highlight w:val="none"/>
                <w:lang w:val="en-US" w:eastAsia="zh-CN"/>
              </w:rPr>
              <w:t>5</w:t>
            </w:r>
            <w:r>
              <w:rPr>
                <w:rFonts w:hint="eastAsia" w:ascii="方正仿宋_GBK" w:hAnsi="方正仿宋_GBK" w:eastAsia="方正仿宋_GBK" w:cs="方正仿宋_GBK"/>
                <w:kern w:val="0"/>
                <w:sz w:val="32"/>
                <w:szCs w:val="32"/>
                <w:highlight w:val="none"/>
              </w:rPr>
              <w:t>）从业人员培训教育制度。</w:t>
            </w:r>
            <w:r>
              <w:rPr>
                <w:rFonts w:hint="eastAsia" w:ascii="方正仿宋_GBK" w:hAnsi="方正仿宋_GBK" w:eastAsia="方正仿宋_GBK" w:cs="方正仿宋_GBK"/>
                <w:kern w:val="0"/>
                <w:sz w:val="32"/>
                <w:szCs w:val="32"/>
                <w:highlight w:val="none"/>
              </w:rPr>
              <w:br w:type="textWrapping"/>
            </w:r>
            <w:r>
              <w:rPr>
                <w:rFonts w:hint="eastAsia" w:ascii="方正仿宋_GBK" w:hAnsi="方正仿宋_GBK" w:eastAsia="方正仿宋_GBK" w:cs="方正仿宋_GBK"/>
                <w:kern w:val="0"/>
                <w:sz w:val="32"/>
                <w:szCs w:val="32"/>
                <w:highlight w:val="none"/>
              </w:rPr>
              <w:t>（</w:t>
            </w:r>
            <w:r>
              <w:rPr>
                <w:rFonts w:hint="eastAsia" w:ascii="Times New Roman" w:hAnsi="Times New Roman" w:eastAsia="方正仿宋_GBK" w:cs="Times New Roman"/>
                <w:color w:val="000000"/>
                <w:kern w:val="0"/>
                <w:sz w:val="32"/>
                <w:szCs w:val="32"/>
                <w:highlight w:val="none"/>
                <w:lang w:val="en-US" w:eastAsia="zh-CN"/>
              </w:rPr>
              <w:t>6</w:t>
            </w:r>
            <w:r>
              <w:rPr>
                <w:rFonts w:hint="eastAsia" w:ascii="方正仿宋_GBK" w:hAnsi="方正仿宋_GBK" w:eastAsia="方正仿宋_GBK" w:cs="方正仿宋_GBK"/>
                <w:kern w:val="0"/>
                <w:sz w:val="32"/>
                <w:szCs w:val="32"/>
                <w:highlight w:val="none"/>
              </w:rPr>
              <w:t>）法律、法规、规章及规范性文件规定的其他制度。</w:t>
            </w:r>
          </w:p>
        </w:tc>
        <w:tc>
          <w:tcPr>
            <w:tcW w:w="892" w:type="dxa"/>
            <w:tcBorders>
              <w:top w:val="single" w:color="auto" w:sz="4" w:space="0"/>
              <w:left w:val="single" w:color="auto" w:sz="4" w:space="0"/>
              <w:bottom w:val="single" w:color="auto" w:sz="4" w:space="0"/>
              <w:right w:val="single" w:color="auto" w:sz="4" w:space="0"/>
            </w:tcBorders>
            <w:noWrap/>
            <w:vAlign w:val="center"/>
          </w:tcPr>
          <w:p w14:paraId="6778C8E1">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highlight w:val="none"/>
              </w:rPr>
            </w:pPr>
            <w:r>
              <w:rPr>
                <w:rFonts w:hint="eastAsia" w:ascii="Times New Roman" w:hAnsi="Times New Roman" w:eastAsia="方正仿宋_GBK" w:cs="Times New Roman"/>
                <w:color w:val="000000"/>
                <w:kern w:val="0"/>
                <w:sz w:val="32"/>
                <w:szCs w:val="32"/>
                <w:highlight w:val="none"/>
                <w:lang w:val="en-US" w:eastAsia="zh-CN"/>
              </w:rPr>
              <w:t>5</w:t>
            </w:r>
          </w:p>
        </w:tc>
      </w:tr>
      <w:tr w14:paraId="61E3289D">
        <w:tblPrEx>
          <w:tblCellMar>
            <w:top w:w="0" w:type="dxa"/>
            <w:left w:w="108" w:type="dxa"/>
            <w:bottom w:w="0" w:type="dxa"/>
            <w:right w:w="108" w:type="dxa"/>
          </w:tblCellMar>
        </w:tblPrEx>
        <w:trPr>
          <w:trHeight w:val="90" w:hRule="atLeast"/>
          <w:jc w:val="center"/>
        </w:trPr>
        <w:tc>
          <w:tcPr>
            <w:tcW w:w="1655" w:type="dxa"/>
            <w:vMerge w:val="continue"/>
            <w:tcBorders>
              <w:top w:val="single" w:color="auto" w:sz="4" w:space="0"/>
              <w:left w:val="single" w:color="auto" w:sz="4" w:space="0"/>
              <w:bottom w:val="single" w:color="auto" w:sz="4" w:space="0"/>
              <w:right w:val="single" w:color="auto" w:sz="4" w:space="0"/>
            </w:tcBorders>
            <w:noWrap w:val="0"/>
            <w:vAlign w:val="center"/>
          </w:tcPr>
          <w:p w14:paraId="0AF5CA88">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rPr>
            </w:pPr>
          </w:p>
        </w:tc>
        <w:tc>
          <w:tcPr>
            <w:tcW w:w="1174" w:type="dxa"/>
            <w:tcBorders>
              <w:top w:val="single" w:color="auto" w:sz="4" w:space="0"/>
              <w:left w:val="single" w:color="auto" w:sz="4" w:space="0"/>
              <w:bottom w:val="single" w:color="auto" w:sz="4" w:space="0"/>
              <w:right w:val="single" w:color="auto" w:sz="4" w:space="0"/>
            </w:tcBorders>
            <w:noWrap/>
            <w:vAlign w:val="center"/>
          </w:tcPr>
          <w:p w14:paraId="7B177371">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培训教育情况</w:t>
            </w:r>
          </w:p>
        </w:tc>
        <w:tc>
          <w:tcPr>
            <w:tcW w:w="11319" w:type="dxa"/>
            <w:tcBorders>
              <w:top w:val="single" w:color="auto" w:sz="4" w:space="0"/>
              <w:left w:val="single" w:color="auto" w:sz="4" w:space="0"/>
              <w:bottom w:val="single" w:color="auto" w:sz="4" w:space="0"/>
              <w:right w:val="single" w:color="auto" w:sz="4" w:space="0"/>
            </w:tcBorders>
            <w:noWrap w:val="0"/>
            <w:vAlign w:val="center"/>
          </w:tcPr>
          <w:p w14:paraId="1103E643">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按照《黄山市网络预约出租汽车平台公司线下服务能力评价指南》要求制定完善的培训教育制度，并落实学习教育计划，缺失一项扣</w:t>
            </w:r>
            <w:r>
              <w:rPr>
                <w:rFonts w:hint="eastAsia" w:ascii="Times New Roman" w:hAnsi="Times New Roman" w:eastAsia="方正仿宋_GBK" w:cs="Times New Roman"/>
                <w:color w:val="000000"/>
                <w:kern w:val="0"/>
                <w:sz w:val="32"/>
                <w:szCs w:val="32"/>
                <w:highlight w:val="none"/>
                <w:lang w:val="en-US" w:eastAsia="zh-CN"/>
              </w:rPr>
              <w:t>2</w:t>
            </w:r>
            <w:r>
              <w:rPr>
                <w:rFonts w:hint="eastAsia" w:ascii="方正仿宋_GBK" w:hAnsi="方正仿宋_GBK" w:eastAsia="方正仿宋_GBK" w:cs="方正仿宋_GBK"/>
                <w:kern w:val="0"/>
                <w:sz w:val="32"/>
                <w:szCs w:val="32"/>
                <w:highlight w:val="none"/>
              </w:rPr>
              <w:t>分，包括：</w:t>
            </w:r>
            <w:r>
              <w:rPr>
                <w:rFonts w:hint="eastAsia" w:ascii="方正仿宋_GBK" w:hAnsi="方正仿宋_GBK" w:eastAsia="方正仿宋_GBK" w:cs="方正仿宋_GBK"/>
                <w:kern w:val="0"/>
                <w:sz w:val="32"/>
                <w:szCs w:val="32"/>
                <w:highlight w:val="none"/>
              </w:rPr>
              <w:br w:type="textWrapping"/>
            </w:r>
            <w:r>
              <w:rPr>
                <w:rFonts w:hint="eastAsia" w:ascii="方正仿宋_GBK" w:hAnsi="方正仿宋_GBK" w:eastAsia="方正仿宋_GBK" w:cs="方正仿宋_GBK"/>
                <w:kern w:val="0"/>
                <w:sz w:val="32"/>
                <w:szCs w:val="32"/>
                <w:highlight w:val="none"/>
              </w:rPr>
              <w:t>（</w:t>
            </w:r>
            <w:r>
              <w:rPr>
                <w:rFonts w:hint="eastAsia" w:ascii="Times New Roman" w:hAnsi="Times New Roman" w:eastAsia="方正仿宋_GBK" w:cs="Times New Roman"/>
                <w:color w:val="000000"/>
                <w:kern w:val="0"/>
                <w:sz w:val="32"/>
                <w:szCs w:val="32"/>
                <w:highlight w:val="none"/>
                <w:lang w:val="en-US" w:eastAsia="zh-CN"/>
              </w:rPr>
              <w:t>1</w:t>
            </w:r>
            <w:r>
              <w:rPr>
                <w:rFonts w:hint="eastAsia" w:ascii="方正仿宋_GBK" w:hAnsi="方正仿宋_GBK" w:eastAsia="方正仿宋_GBK" w:cs="方正仿宋_GBK"/>
                <w:kern w:val="0"/>
                <w:sz w:val="32"/>
                <w:szCs w:val="32"/>
                <w:highlight w:val="none"/>
              </w:rPr>
              <w:t>）岗前培训：新入职驾驶员及管理人员不得低于</w:t>
            </w:r>
            <w:r>
              <w:rPr>
                <w:rFonts w:hint="eastAsia" w:ascii="Times New Roman" w:hAnsi="Times New Roman" w:eastAsia="方正仿宋_GBK" w:cs="Times New Roman"/>
                <w:color w:val="000000"/>
                <w:kern w:val="0"/>
                <w:sz w:val="32"/>
                <w:szCs w:val="32"/>
                <w:highlight w:val="none"/>
                <w:lang w:val="en-US" w:eastAsia="zh-CN"/>
              </w:rPr>
              <w:t>4</w:t>
            </w:r>
            <w:r>
              <w:rPr>
                <w:rFonts w:hint="eastAsia" w:ascii="方正仿宋_GBK" w:hAnsi="方正仿宋_GBK" w:eastAsia="方正仿宋_GBK" w:cs="方正仿宋_GBK"/>
                <w:kern w:val="0"/>
                <w:sz w:val="32"/>
                <w:szCs w:val="32"/>
                <w:highlight w:val="none"/>
              </w:rPr>
              <w:t>学时；</w:t>
            </w:r>
            <w:r>
              <w:rPr>
                <w:rFonts w:hint="eastAsia" w:ascii="方正仿宋_GBK" w:hAnsi="方正仿宋_GBK" w:eastAsia="方正仿宋_GBK" w:cs="方正仿宋_GBK"/>
                <w:kern w:val="0"/>
                <w:sz w:val="32"/>
                <w:szCs w:val="32"/>
                <w:highlight w:val="none"/>
              </w:rPr>
              <w:br w:type="textWrapping"/>
            </w:r>
            <w:r>
              <w:rPr>
                <w:rFonts w:hint="eastAsia" w:ascii="方正仿宋_GBK" w:hAnsi="方正仿宋_GBK" w:eastAsia="方正仿宋_GBK" w:cs="方正仿宋_GBK"/>
                <w:kern w:val="0"/>
                <w:sz w:val="32"/>
                <w:szCs w:val="32"/>
                <w:highlight w:val="none"/>
              </w:rPr>
              <w:t>（</w:t>
            </w:r>
            <w:r>
              <w:rPr>
                <w:rFonts w:hint="eastAsia" w:ascii="Times New Roman" w:hAnsi="Times New Roman" w:eastAsia="方正仿宋_GBK" w:cs="Times New Roman"/>
                <w:color w:val="000000"/>
                <w:kern w:val="0"/>
                <w:sz w:val="32"/>
                <w:szCs w:val="32"/>
                <w:highlight w:val="none"/>
                <w:lang w:val="en-US" w:eastAsia="zh-CN"/>
              </w:rPr>
              <w:t>2</w:t>
            </w:r>
            <w:r>
              <w:rPr>
                <w:rFonts w:hint="eastAsia" w:ascii="方正仿宋_GBK" w:hAnsi="方正仿宋_GBK" w:eastAsia="方正仿宋_GBK" w:cs="方正仿宋_GBK"/>
                <w:kern w:val="0"/>
                <w:sz w:val="32"/>
                <w:szCs w:val="32"/>
                <w:highlight w:val="none"/>
              </w:rPr>
              <w:t>）继续教育：公司所属驾驶员每人每年接受不少于</w:t>
            </w:r>
            <w:r>
              <w:rPr>
                <w:rFonts w:hint="eastAsia" w:ascii="Times New Roman" w:hAnsi="Times New Roman" w:eastAsia="方正仿宋_GBK" w:cs="Times New Roman"/>
                <w:color w:val="000000"/>
                <w:kern w:val="0"/>
                <w:sz w:val="32"/>
                <w:szCs w:val="32"/>
                <w:highlight w:val="none"/>
                <w:lang w:val="en-US" w:eastAsia="zh-CN"/>
              </w:rPr>
              <w:t>2</w:t>
            </w:r>
            <w:r>
              <w:rPr>
                <w:rFonts w:hint="eastAsia" w:ascii="方正仿宋_GBK" w:hAnsi="方正仿宋_GBK" w:eastAsia="方正仿宋_GBK" w:cs="方正仿宋_GBK"/>
                <w:kern w:val="0"/>
                <w:sz w:val="32"/>
                <w:szCs w:val="32"/>
                <w:highlight w:val="none"/>
              </w:rPr>
              <w:t>次线下集中培训；</w:t>
            </w:r>
            <w:r>
              <w:rPr>
                <w:rFonts w:hint="eastAsia" w:ascii="方正仿宋_GBK" w:hAnsi="方正仿宋_GBK" w:eastAsia="方正仿宋_GBK" w:cs="方正仿宋_GBK"/>
                <w:kern w:val="0"/>
                <w:sz w:val="32"/>
                <w:szCs w:val="32"/>
                <w:highlight w:val="none"/>
              </w:rPr>
              <w:br w:type="textWrapping"/>
            </w:r>
            <w:r>
              <w:rPr>
                <w:rFonts w:hint="eastAsia" w:ascii="方正仿宋_GBK" w:hAnsi="方正仿宋_GBK" w:eastAsia="方正仿宋_GBK" w:cs="方正仿宋_GBK"/>
                <w:kern w:val="0"/>
                <w:sz w:val="32"/>
                <w:szCs w:val="32"/>
                <w:highlight w:val="none"/>
              </w:rPr>
              <w:t>（</w:t>
            </w:r>
            <w:r>
              <w:rPr>
                <w:rFonts w:hint="eastAsia" w:ascii="Times New Roman" w:hAnsi="Times New Roman" w:eastAsia="方正仿宋_GBK" w:cs="Times New Roman"/>
                <w:color w:val="000000"/>
                <w:kern w:val="0"/>
                <w:sz w:val="32"/>
                <w:szCs w:val="32"/>
                <w:highlight w:val="none"/>
                <w:lang w:val="en-US" w:eastAsia="zh-CN"/>
              </w:rPr>
              <w:t>3</w:t>
            </w:r>
            <w:r>
              <w:rPr>
                <w:rFonts w:hint="eastAsia" w:ascii="方正仿宋_GBK" w:hAnsi="方正仿宋_GBK" w:eastAsia="方正仿宋_GBK" w:cs="方正仿宋_GBK"/>
                <w:kern w:val="0"/>
                <w:sz w:val="32"/>
                <w:szCs w:val="32"/>
                <w:highlight w:val="none"/>
              </w:rPr>
              <w:t>）其他要素：培训应当做好签到、授课课件等</w:t>
            </w:r>
            <w:r>
              <w:rPr>
                <w:rFonts w:hint="eastAsia" w:ascii="方正仿宋_GBK" w:hAnsi="方正仿宋_GBK" w:eastAsia="方正仿宋_GBK" w:cs="方正仿宋_GBK"/>
                <w:kern w:val="0"/>
                <w:sz w:val="32"/>
                <w:szCs w:val="32"/>
                <w:highlight w:val="none"/>
                <w:lang w:val="en-US" w:eastAsia="zh-CN"/>
              </w:rPr>
              <w:t>影像资料</w:t>
            </w:r>
            <w:r>
              <w:rPr>
                <w:rFonts w:hint="eastAsia" w:ascii="方正仿宋_GBK" w:hAnsi="方正仿宋_GBK" w:eastAsia="方正仿宋_GBK" w:cs="方正仿宋_GBK"/>
                <w:kern w:val="0"/>
                <w:sz w:val="32"/>
                <w:szCs w:val="32"/>
                <w:highlight w:val="none"/>
              </w:rPr>
              <w:t>归档。</w:t>
            </w:r>
          </w:p>
        </w:tc>
        <w:tc>
          <w:tcPr>
            <w:tcW w:w="892" w:type="dxa"/>
            <w:tcBorders>
              <w:top w:val="single" w:color="auto" w:sz="4" w:space="0"/>
              <w:left w:val="single" w:color="auto" w:sz="4" w:space="0"/>
              <w:bottom w:val="single" w:color="auto" w:sz="4" w:space="0"/>
              <w:right w:val="single" w:color="auto" w:sz="4" w:space="0"/>
            </w:tcBorders>
            <w:noWrap/>
            <w:vAlign w:val="center"/>
          </w:tcPr>
          <w:p w14:paraId="0723FE69">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highlight w:val="none"/>
              </w:rPr>
            </w:pPr>
            <w:r>
              <w:rPr>
                <w:rFonts w:hint="eastAsia" w:ascii="Times New Roman" w:hAnsi="Times New Roman" w:eastAsia="方正仿宋_GBK" w:cs="Times New Roman"/>
                <w:color w:val="000000"/>
                <w:kern w:val="0"/>
                <w:sz w:val="32"/>
                <w:szCs w:val="32"/>
                <w:highlight w:val="none"/>
                <w:lang w:val="en-US" w:eastAsia="zh-CN"/>
              </w:rPr>
              <w:t>4</w:t>
            </w:r>
          </w:p>
        </w:tc>
      </w:tr>
      <w:tr w14:paraId="73228B38">
        <w:tblPrEx>
          <w:tblCellMar>
            <w:top w:w="0" w:type="dxa"/>
            <w:left w:w="108" w:type="dxa"/>
            <w:bottom w:w="0" w:type="dxa"/>
            <w:right w:w="108" w:type="dxa"/>
          </w:tblCellMar>
        </w:tblPrEx>
        <w:trPr>
          <w:trHeight w:val="967" w:hRule="atLeast"/>
          <w:jc w:val="center"/>
        </w:trPr>
        <w:tc>
          <w:tcPr>
            <w:tcW w:w="1655" w:type="dxa"/>
            <w:vMerge w:val="continue"/>
            <w:tcBorders>
              <w:top w:val="single" w:color="auto" w:sz="4" w:space="0"/>
              <w:left w:val="single" w:color="auto" w:sz="4" w:space="0"/>
              <w:bottom w:val="single" w:color="auto" w:sz="4" w:space="0"/>
              <w:right w:val="single" w:color="auto" w:sz="4" w:space="0"/>
            </w:tcBorders>
            <w:noWrap w:val="0"/>
            <w:vAlign w:val="center"/>
          </w:tcPr>
          <w:p w14:paraId="157B0EB4">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rPr>
            </w:pPr>
          </w:p>
        </w:tc>
        <w:tc>
          <w:tcPr>
            <w:tcW w:w="1174" w:type="dxa"/>
            <w:tcBorders>
              <w:top w:val="single" w:color="auto" w:sz="4" w:space="0"/>
              <w:left w:val="single" w:color="auto" w:sz="4" w:space="0"/>
              <w:bottom w:val="single" w:color="auto" w:sz="4" w:space="0"/>
              <w:right w:val="single" w:color="auto" w:sz="4" w:space="0"/>
            </w:tcBorders>
            <w:noWrap/>
            <w:vAlign w:val="center"/>
          </w:tcPr>
          <w:p w14:paraId="246D0F8D">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安全生产人员</w:t>
            </w:r>
          </w:p>
        </w:tc>
        <w:tc>
          <w:tcPr>
            <w:tcW w:w="11319" w:type="dxa"/>
            <w:tcBorders>
              <w:top w:val="single" w:color="auto" w:sz="4" w:space="0"/>
              <w:left w:val="single" w:color="auto" w:sz="4" w:space="0"/>
              <w:bottom w:val="single" w:color="auto" w:sz="4" w:space="0"/>
              <w:right w:val="single" w:color="auto" w:sz="4" w:space="0"/>
            </w:tcBorders>
            <w:noWrap w:val="0"/>
            <w:vAlign w:val="center"/>
          </w:tcPr>
          <w:p w14:paraId="64BB0BD6">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运营规模达到</w:t>
            </w:r>
            <w:r>
              <w:rPr>
                <w:rFonts w:hint="eastAsia" w:ascii="Times New Roman" w:hAnsi="Times New Roman" w:eastAsia="方正仿宋_GBK" w:cs="Times New Roman"/>
                <w:color w:val="000000"/>
                <w:kern w:val="0"/>
                <w:sz w:val="32"/>
                <w:szCs w:val="32"/>
                <w:highlight w:val="none"/>
                <w:lang w:val="en-US" w:eastAsia="zh-CN"/>
              </w:rPr>
              <w:t>100</w:t>
            </w:r>
            <w:r>
              <w:rPr>
                <w:rFonts w:hint="eastAsia" w:ascii="方正仿宋_GBK" w:hAnsi="方正仿宋_GBK" w:eastAsia="方正仿宋_GBK" w:cs="方正仿宋_GBK"/>
                <w:kern w:val="0"/>
                <w:sz w:val="32"/>
                <w:szCs w:val="32"/>
                <w:highlight w:val="none"/>
              </w:rPr>
              <w:t>台车辆以上的，应配备专职安全生产管理人员（需取得相应证件），常驻本市办公，专人专职、不得兼任，严格按照国家安全生产的方针、政策、各种规章制度及各项标准，对运营单位安全生产行使监督检查职能。未满足条件的扣除</w:t>
            </w:r>
            <w:r>
              <w:rPr>
                <w:rFonts w:hint="eastAsia" w:ascii="Times New Roman" w:hAnsi="Times New Roman" w:eastAsia="方正仿宋_GBK" w:cs="Times New Roman"/>
                <w:color w:val="000000"/>
                <w:kern w:val="0"/>
                <w:sz w:val="32"/>
                <w:szCs w:val="32"/>
                <w:highlight w:val="none"/>
                <w:lang w:val="en-US" w:eastAsia="zh-CN"/>
              </w:rPr>
              <w:t>5</w:t>
            </w:r>
            <w:r>
              <w:rPr>
                <w:rFonts w:hint="eastAsia" w:ascii="方正仿宋_GBK" w:hAnsi="方正仿宋_GBK" w:eastAsia="方正仿宋_GBK" w:cs="方正仿宋_GBK"/>
                <w:kern w:val="0"/>
                <w:sz w:val="32"/>
                <w:szCs w:val="32"/>
                <w:highlight w:val="none"/>
              </w:rPr>
              <w:t>分。</w:t>
            </w:r>
          </w:p>
        </w:tc>
        <w:tc>
          <w:tcPr>
            <w:tcW w:w="892" w:type="dxa"/>
            <w:tcBorders>
              <w:top w:val="single" w:color="auto" w:sz="4" w:space="0"/>
              <w:left w:val="single" w:color="auto" w:sz="4" w:space="0"/>
              <w:bottom w:val="single" w:color="auto" w:sz="4" w:space="0"/>
              <w:right w:val="single" w:color="auto" w:sz="4" w:space="0"/>
            </w:tcBorders>
            <w:noWrap/>
            <w:vAlign w:val="center"/>
          </w:tcPr>
          <w:p w14:paraId="7090B7B0">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highlight w:val="none"/>
              </w:rPr>
            </w:pPr>
            <w:r>
              <w:rPr>
                <w:rFonts w:hint="eastAsia" w:ascii="Times New Roman" w:hAnsi="Times New Roman" w:eastAsia="方正仿宋_GBK" w:cs="Times New Roman"/>
                <w:color w:val="000000"/>
                <w:kern w:val="0"/>
                <w:sz w:val="32"/>
                <w:szCs w:val="32"/>
                <w:highlight w:val="none"/>
                <w:lang w:val="en-US" w:eastAsia="zh-CN"/>
              </w:rPr>
              <w:t>5</w:t>
            </w:r>
          </w:p>
        </w:tc>
      </w:tr>
      <w:tr w14:paraId="023871EC">
        <w:tblPrEx>
          <w:tblCellMar>
            <w:top w:w="0" w:type="dxa"/>
            <w:left w:w="108" w:type="dxa"/>
            <w:bottom w:w="0" w:type="dxa"/>
            <w:right w:w="108" w:type="dxa"/>
          </w:tblCellMar>
        </w:tblPrEx>
        <w:trPr>
          <w:trHeight w:val="715" w:hRule="atLeast"/>
          <w:jc w:val="center"/>
        </w:trPr>
        <w:tc>
          <w:tcPr>
            <w:tcW w:w="1655" w:type="dxa"/>
            <w:vMerge w:val="continue"/>
            <w:tcBorders>
              <w:top w:val="single" w:color="auto" w:sz="4" w:space="0"/>
              <w:left w:val="single" w:color="auto" w:sz="4" w:space="0"/>
              <w:bottom w:val="single" w:color="auto" w:sz="4" w:space="0"/>
              <w:right w:val="single" w:color="auto" w:sz="4" w:space="0"/>
            </w:tcBorders>
            <w:noWrap w:val="0"/>
            <w:vAlign w:val="center"/>
          </w:tcPr>
          <w:p w14:paraId="1AC4B275">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rPr>
            </w:pPr>
          </w:p>
        </w:tc>
        <w:tc>
          <w:tcPr>
            <w:tcW w:w="1174" w:type="dxa"/>
            <w:tcBorders>
              <w:top w:val="single" w:color="auto" w:sz="4" w:space="0"/>
              <w:left w:val="single" w:color="auto" w:sz="4" w:space="0"/>
              <w:bottom w:val="single" w:color="auto" w:sz="4" w:space="0"/>
              <w:right w:val="single" w:color="auto" w:sz="4" w:space="0"/>
            </w:tcBorders>
            <w:noWrap/>
            <w:vAlign w:val="center"/>
          </w:tcPr>
          <w:p w14:paraId="5A7C28FF">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交通事故情况</w:t>
            </w:r>
          </w:p>
        </w:tc>
        <w:tc>
          <w:tcPr>
            <w:tcW w:w="11319" w:type="dxa"/>
            <w:tcBorders>
              <w:top w:val="single" w:color="auto" w:sz="4" w:space="0"/>
              <w:left w:val="single" w:color="auto" w:sz="4" w:space="0"/>
              <w:bottom w:val="single" w:color="auto" w:sz="4" w:space="0"/>
              <w:right w:val="single" w:color="auto" w:sz="4" w:space="0"/>
            </w:tcBorders>
            <w:noWrap w:val="0"/>
            <w:vAlign w:val="center"/>
          </w:tcPr>
          <w:p w14:paraId="05718C27">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考核周期内，发生交通责任事故致人死亡的，每死一人扣</w:t>
            </w:r>
            <w:r>
              <w:rPr>
                <w:rFonts w:hint="eastAsia" w:ascii="Times New Roman" w:hAnsi="Times New Roman" w:eastAsia="方正仿宋_GBK" w:cs="Times New Roman"/>
                <w:color w:val="000000"/>
                <w:kern w:val="0"/>
                <w:sz w:val="32"/>
                <w:szCs w:val="32"/>
                <w:highlight w:val="none"/>
                <w:lang w:val="en-US" w:eastAsia="zh-CN"/>
              </w:rPr>
              <w:t>3</w:t>
            </w:r>
            <w:r>
              <w:rPr>
                <w:rFonts w:hint="eastAsia" w:ascii="方正仿宋_GBK" w:hAnsi="方正仿宋_GBK" w:eastAsia="方正仿宋_GBK" w:cs="方正仿宋_GBK"/>
                <w:kern w:val="0"/>
                <w:sz w:val="32"/>
                <w:szCs w:val="32"/>
                <w:highlight w:val="none"/>
              </w:rPr>
              <w:t>分，每重伤一人扣</w:t>
            </w:r>
            <w:r>
              <w:rPr>
                <w:rFonts w:hint="eastAsia" w:ascii="Times New Roman" w:hAnsi="Times New Roman" w:eastAsia="方正仿宋_GBK" w:cs="Times New Roman"/>
                <w:color w:val="000000"/>
                <w:kern w:val="0"/>
                <w:sz w:val="32"/>
                <w:szCs w:val="32"/>
                <w:highlight w:val="none"/>
                <w:lang w:val="en-US" w:eastAsia="zh-CN"/>
              </w:rPr>
              <w:t>2</w:t>
            </w:r>
            <w:r>
              <w:rPr>
                <w:rFonts w:hint="eastAsia" w:ascii="方正仿宋_GBK" w:hAnsi="方正仿宋_GBK" w:eastAsia="方正仿宋_GBK" w:cs="方正仿宋_GBK"/>
                <w:kern w:val="0"/>
                <w:sz w:val="32"/>
                <w:szCs w:val="32"/>
                <w:highlight w:val="none"/>
              </w:rPr>
              <w:t>分；事故认定主责及以上的，每次加扣</w:t>
            </w:r>
            <w:r>
              <w:rPr>
                <w:rFonts w:hint="eastAsia" w:ascii="Times New Roman" w:hAnsi="Times New Roman" w:eastAsia="方正仿宋_GBK" w:cs="Times New Roman"/>
                <w:color w:val="000000"/>
                <w:kern w:val="0"/>
                <w:sz w:val="32"/>
                <w:szCs w:val="32"/>
                <w:highlight w:val="none"/>
                <w:lang w:val="en-US" w:eastAsia="zh-CN"/>
              </w:rPr>
              <w:t>2</w:t>
            </w:r>
            <w:r>
              <w:rPr>
                <w:rFonts w:hint="eastAsia" w:ascii="方正仿宋_GBK" w:hAnsi="方正仿宋_GBK" w:eastAsia="方正仿宋_GBK" w:cs="方正仿宋_GBK"/>
                <w:kern w:val="0"/>
                <w:sz w:val="32"/>
                <w:szCs w:val="32"/>
                <w:highlight w:val="none"/>
              </w:rPr>
              <w:t>分，扣完为止；发生一次死亡</w:t>
            </w:r>
            <w:r>
              <w:rPr>
                <w:rFonts w:hint="eastAsia" w:ascii="Times New Roman" w:hAnsi="Times New Roman" w:eastAsia="方正仿宋_GBK" w:cs="Times New Roman"/>
                <w:color w:val="000000"/>
                <w:kern w:val="0"/>
                <w:sz w:val="32"/>
                <w:szCs w:val="32"/>
                <w:highlight w:val="none"/>
                <w:lang w:val="en-US" w:eastAsia="zh-CN"/>
              </w:rPr>
              <w:t>3</w:t>
            </w:r>
            <w:r>
              <w:rPr>
                <w:rFonts w:hint="eastAsia" w:ascii="方正仿宋_GBK" w:hAnsi="方正仿宋_GBK" w:eastAsia="方正仿宋_GBK" w:cs="方正仿宋_GBK"/>
                <w:kern w:val="0"/>
                <w:sz w:val="32"/>
                <w:szCs w:val="32"/>
                <w:highlight w:val="none"/>
              </w:rPr>
              <w:t>人以上的交通责任事故的，一票否决。</w:t>
            </w:r>
          </w:p>
        </w:tc>
        <w:tc>
          <w:tcPr>
            <w:tcW w:w="892" w:type="dxa"/>
            <w:tcBorders>
              <w:top w:val="single" w:color="auto" w:sz="4" w:space="0"/>
              <w:left w:val="single" w:color="auto" w:sz="4" w:space="0"/>
              <w:bottom w:val="single" w:color="auto" w:sz="4" w:space="0"/>
              <w:right w:val="single" w:color="auto" w:sz="4" w:space="0"/>
            </w:tcBorders>
            <w:noWrap/>
            <w:vAlign w:val="center"/>
          </w:tcPr>
          <w:p w14:paraId="21AE6133">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highlight w:val="none"/>
              </w:rPr>
            </w:pPr>
            <w:r>
              <w:rPr>
                <w:rFonts w:hint="eastAsia" w:ascii="Times New Roman" w:hAnsi="Times New Roman" w:eastAsia="方正仿宋_GBK" w:cs="Times New Roman"/>
                <w:color w:val="000000"/>
                <w:kern w:val="0"/>
                <w:sz w:val="32"/>
                <w:szCs w:val="32"/>
                <w:highlight w:val="none"/>
                <w:lang w:val="en-US" w:eastAsia="zh-CN"/>
              </w:rPr>
              <w:t>5</w:t>
            </w:r>
          </w:p>
        </w:tc>
      </w:tr>
      <w:tr w14:paraId="095FD212">
        <w:tblPrEx>
          <w:tblCellMar>
            <w:top w:w="0" w:type="dxa"/>
            <w:left w:w="108" w:type="dxa"/>
            <w:bottom w:w="0" w:type="dxa"/>
            <w:right w:w="108" w:type="dxa"/>
          </w:tblCellMar>
        </w:tblPrEx>
        <w:trPr>
          <w:trHeight w:val="840" w:hRule="atLeast"/>
          <w:jc w:val="center"/>
        </w:trPr>
        <w:tc>
          <w:tcPr>
            <w:tcW w:w="1655" w:type="dxa"/>
            <w:vMerge w:val="continue"/>
            <w:tcBorders>
              <w:top w:val="single" w:color="auto" w:sz="4" w:space="0"/>
              <w:left w:val="single" w:color="auto" w:sz="4" w:space="0"/>
              <w:bottom w:val="single" w:color="auto" w:sz="4" w:space="0"/>
              <w:right w:val="single" w:color="auto" w:sz="4" w:space="0"/>
            </w:tcBorders>
            <w:noWrap w:val="0"/>
            <w:vAlign w:val="center"/>
          </w:tcPr>
          <w:p w14:paraId="439385A1">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89BD74C">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行业管理部门工作衔接落实情况</w:t>
            </w:r>
          </w:p>
        </w:tc>
        <w:tc>
          <w:tcPr>
            <w:tcW w:w="11319" w:type="dxa"/>
            <w:tcBorders>
              <w:top w:val="single" w:color="auto" w:sz="4" w:space="0"/>
              <w:left w:val="single" w:color="auto" w:sz="4" w:space="0"/>
              <w:bottom w:val="single" w:color="auto" w:sz="4" w:space="0"/>
              <w:right w:val="single" w:color="auto" w:sz="4" w:space="0"/>
            </w:tcBorders>
            <w:noWrap w:val="0"/>
            <w:vAlign w:val="center"/>
          </w:tcPr>
          <w:p w14:paraId="5D15FE32">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kern w:val="0"/>
                <w:sz w:val="32"/>
                <w:szCs w:val="32"/>
                <w:highlight w:val="none"/>
              </w:rPr>
            </w:pPr>
            <w:r>
              <w:rPr>
                <w:rFonts w:hint="eastAsia" w:ascii="Times New Roman" w:hAnsi="Times New Roman" w:eastAsia="方正仿宋_GBK" w:cs="Times New Roman"/>
                <w:color w:val="000000"/>
                <w:kern w:val="0"/>
                <w:sz w:val="32"/>
                <w:szCs w:val="32"/>
                <w:highlight w:val="none"/>
                <w:lang w:val="en-US" w:eastAsia="zh-CN"/>
              </w:rPr>
              <w:t>1</w:t>
            </w:r>
            <w:r>
              <w:rPr>
                <w:rFonts w:hint="eastAsia" w:ascii="方正仿宋_GBK" w:hAnsi="方正仿宋_GBK" w:eastAsia="方正仿宋_GBK" w:cs="方正仿宋_GBK"/>
                <w:kern w:val="0"/>
                <w:sz w:val="32"/>
                <w:szCs w:val="32"/>
                <w:highlight w:val="none"/>
              </w:rPr>
              <w:t>、主要负责人、安全管理人员未按要求出席政府管理部门召集的会议或培训，每次扣</w:t>
            </w:r>
            <w:r>
              <w:rPr>
                <w:rFonts w:hint="eastAsia" w:ascii="Times New Roman" w:hAnsi="Times New Roman" w:eastAsia="方正仿宋_GBK" w:cs="Times New Roman"/>
                <w:color w:val="000000"/>
                <w:kern w:val="0"/>
                <w:sz w:val="32"/>
                <w:szCs w:val="32"/>
                <w:highlight w:val="none"/>
                <w:lang w:val="en-US" w:eastAsia="zh-CN"/>
              </w:rPr>
              <w:t>2</w:t>
            </w:r>
            <w:r>
              <w:rPr>
                <w:rFonts w:hint="eastAsia" w:ascii="方正仿宋_GBK" w:hAnsi="方正仿宋_GBK" w:eastAsia="方正仿宋_GBK" w:cs="方正仿宋_GBK"/>
                <w:kern w:val="0"/>
                <w:sz w:val="32"/>
                <w:szCs w:val="32"/>
                <w:highlight w:val="none"/>
              </w:rPr>
              <w:t>分；</w:t>
            </w:r>
            <w:r>
              <w:rPr>
                <w:rFonts w:hint="eastAsia" w:ascii="方正仿宋_GBK" w:hAnsi="方正仿宋_GBK" w:eastAsia="方正仿宋_GBK" w:cs="方正仿宋_GBK"/>
                <w:kern w:val="0"/>
                <w:sz w:val="32"/>
                <w:szCs w:val="32"/>
                <w:highlight w:val="none"/>
              </w:rPr>
              <w:br w:type="textWrapping"/>
            </w:r>
            <w:r>
              <w:rPr>
                <w:rFonts w:hint="eastAsia" w:ascii="Times New Roman" w:hAnsi="Times New Roman" w:eastAsia="方正仿宋_GBK" w:cs="Times New Roman"/>
                <w:color w:val="000000"/>
                <w:kern w:val="0"/>
                <w:sz w:val="32"/>
                <w:szCs w:val="32"/>
                <w:highlight w:val="none"/>
                <w:lang w:val="en-US" w:eastAsia="zh-CN"/>
              </w:rPr>
              <w:t>2</w:t>
            </w:r>
            <w:r>
              <w:rPr>
                <w:rFonts w:hint="eastAsia" w:ascii="方正仿宋_GBK" w:hAnsi="方正仿宋_GBK" w:eastAsia="方正仿宋_GBK" w:cs="方正仿宋_GBK"/>
                <w:kern w:val="0"/>
                <w:sz w:val="32"/>
                <w:szCs w:val="32"/>
                <w:highlight w:val="none"/>
              </w:rPr>
              <w:t>、未按规定时间和要求提交材料或落实工作部署，每次扣</w:t>
            </w:r>
            <w:r>
              <w:rPr>
                <w:rFonts w:hint="eastAsia" w:ascii="Times New Roman" w:hAnsi="Times New Roman" w:eastAsia="方正仿宋_GBK" w:cs="Times New Roman"/>
                <w:color w:val="000000"/>
                <w:kern w:val="0"/>
                <w:sz w:val="32"/>
                <w:szCs w:val="32"/>
                <w:highlight w:val="none"/>
                <w:lang w:val="en-US" w:eastAsia="zh-CN"/>
              </w:rPr>
              <w:t>2</w:t>
            </w:r>
            <w:r>
              <w:rPr>
                <w:rFonts w:hint="eastAsia" w:ascii="方正仿宋_GBK" w:hAnsi="方正仿宋_GBK" w:eastAsia="方正仿宋_GBK" w:cs="方正仿宋_GBK"/>
                <w:kern w:val="0"/>
                <w:sz w:val="32"/>
                <w:szCs w:val="32"/>
                <w:highlight w:val="none"/>
              </w:rPr>
              <w:t>分；</w:t>
            </w:r>
            <w:r>
              <w:rPr>
                <w:rFonts w:hint="eastAsia" w:ascii="方正仿宋_GBK" w:hAnsi="方正仿宋_GBK" w:eastAsia="方正仿宋_GBK" w:cs="方正仿宋_GBK"/>
                <w:kern w:val="0"/>
                <w:sz w:val="32"/>
                <w:szCs w:val="32"/>
                <w:highlight w:val="none"/>
              </w:rPr>
              <w:br w:type="textWrapping"/>
            </w:r>
            <w:r>
              <w:rPr>
                <w:rFonts w:hint="eastAsia" w:ascii="Times New Roman" w:hAnsi="Times New Roman" w:eastAsia="方正仿宋_GBK" w:cs="Times New Roman"/>
                <w:color w:val="000000"/>
                <w:kern w:val="0"/>
                <w:sz w:val="32"/>
                <w:szCs w:val="32"/>
                <w:highlight w:val="none"/>
                <w:lang w:val="en-US" w:eastAsia="zh-CN"/>
              </w:rPr>
              <w:t>3</w:t>
            </w:r>
            <w:r>
              <w:rPr>
                <w:rFonts w:hint="eastAsia" w:ascii="方正仿宋_GBK" w:hAnsi="方正仿宋_GBK" w:eastAsia="方正仿宋_GBK" w:cs="方正仿宋_GBK"/>
                <w:kern w:val="0"/>
                <w:sz w:val="32"/>
                <w:szCs w:val="32"/>
                <w:highlight w:val="none"/>
              </w:rPr>
              <w:t>、考核周期内因企业自身原因被行业主管部门约谈一次且未按时完成整改的，扣</w:t>
            </w:r>
            <w:r>
              <w:rPr>
                <w:rFonts w:hint="eastAsia" w:ascii="Times New Roman" w:hAnsi="Times New Roman" w:eastAsia="方正仿宋_GBK" w:cs="Times New Roman"/>
                <w:color w:val="000000"/>
                <w:kern w:val="0"/>
                <w:sz w:val="32"/>
                <w:szCs w:val="32"/>
                <w:highlight w:val="none"/>
                <w:lang w:val="en-US" w:eastAsia="zh-CN"/>
              </w:rPr>
              <w:t>2</w:t>
            </w:r>
            <w:r>
              <w:rPr>
                <w:rFonts w:hint="eastAsia" w:ascii="方正仿宋_GBK" w:hAnsi="方正仿宋_GBK" w:eastAsia="方正仿宋_GBK" w:cs="方正仿宋_GBK"/>
                <w:kern w:val="0"/>
                <w:sz w:val="32"/>
                <w:szCs w:val="32"/>
                <w:highlight w:val="none"/>
              </w:rPr>
              <w:t>分。</w:t>
            </w:r>
          </w:p>
        </w:tc>
        <w:tc>
          <w:tcPr>
            <w:tcW w:w="892" w:type="dxa"/>
            <w:tcBorders>
              <w:top w:val="single" w:color="auto" w:sz="4" w:space="0"/>
              <w:left w:val="single" w:color="auto" w:sz="4" w:space="0"/>
              <w:bottom w:val="single" w:color="auto" w:sz="4" w:space="0"/>
              <w:right w:val="single" w:color="auto" w:sz="4" w:space="0"/>
            </w:tcBorders>
            <w:noWrap/>
            <w:vAlign w:val="center"/>
          </w:tcPr>
          <w:p w14:paraId="6AA16E1B">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kern w:val="0"/>
                <w:sz w:val="32"/>
                <w:szCs w:val="32"/>
                <w:highlight w:val="none"/>
              </w:rPr>
            </w:pPr>
            <w:r>
              <w:rPr>
                <w:rFonts w:hint="eastAsia" w:ascii="Times New Roman" w:hAnsi="Times New Roman" w:eastAsia="方正仿宋_GBK" w:cs="Times New Roman"/>
                <w:color w:val="000000"/>
                <w:kern w:val="0"/>
                <w:sz w:val="32"/>
                <w:szCs w:val="32"/>
                <w:highlight w:val="none"/>
                <w:lang w:val="en-US" w:eastAsia="zh-CN"/>
              </w:rPr>
              <w:t>6</w:t>
            </w:r>
          </w:p>
        </w:tc>
      </w:tr>
      <w:tr w14:paraId="1EE8BBE4">
        <w:tblPrEx>
          <w:tblCellMar>
            <w:top w:w="0" w:type="dxa"/>
            <w:left w:w="108" w:type="dxa"/>
            <w:bottom w:w="0" w:type="dxa"/>
            <w:right w:w="108" w:type="dxa"/>
          </w:tblCellMar>
        </w:tblPrEx>
        <w:trPr>
          <w:trHeight w:val="90" w:hRule="atLeast"/>
          <w:jc w:val="center"/>
        </w:trPr>
        <w:tc>
          <w:tcPr>
            <w:tcW w:w="1655" w:type="dxa"/>
            <w:vMerge w:val="restart"/>
            <w:tcBorders>
              <w:top w:val="single" w:color="auto" w:sz="4" w:space="0"/>
              <w:left w:val="single" w:color="auto" w:sz="4" w:space="0"/>
              <w:bottom w:val="single" w:color="000000" w:sz="4" w:space="0"/>
              <w:right w:val="single" w:color="auto" w:sz="4" w:space="0"/>
            </w:tcBorders>
            <w:noWrap w:val="0"/>
            <w:vAlign w:val="center"/>
          </w:tcPr>
          <w:p w14:paraId="29F5BB5D">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信息数据</w:t>
            </w:r>
            <w:r>
              <w:rPr>
                <w:rFonts w:hint="eastAsia" w:ascii="方正仿宋_GBK" w:hAnsi="方正仿宋_GBK" w:eastAsia="方正仿宋_GBK" w:cs="方正仿宋_GBK"/>
                <w:color w:val="000000"/>
                <w:kern w:val="0"/>
                <w:sz w:val="32"/>
                <w:szCs w:val="32"/>
                <w:highlight w:val="none"/>
              </w:rPr>
              <w:br w:type="textWrapping"/>
            </w:r>
            <w:r>
              <w:rPr>
                <w:rFonts w:hint="eastAsia" w:ascii="方正仿宋_GBK" w:hAnsi="方正仿宋_GBK" w:eastAsia="方正仿宋_GBK" w:cs="方正仿宋_GBK"/>
                <w:color w:val="000000"/>
                <w:kern w:val="0"/>
                <w:sz w:val="32"/>
                <w:szCs w:val="32"/>
                <w:highlight w:val="none"/>
              </w:rPr>
              <w:t>（35分）</w:t>
            </w:r>
          </w:p>
        </w:tc>
        <w:tc>
          <w:tcPr>
            <w:tcW w:w="1174" w:type="dxa"/>
            <w:tcBorders>
              <w:top w:val="single" w:color="auto" w:sz="4" w:space="0"/>
              <w:left w:val="nil"/>
              <w:bottom w:val="single" w:color="auto" w:sz="4" w:space="0"/>
              <w:right w:val="single" w:color="auto" w:sz="4" w:space="0"/>
            </w:tcBorders>
            <w:noWrap/>
            <w:vAlign w:val="center"/>
          </w:tcPr>
          <w:p w14:paraId="0494DB90">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合规情况</w:t>
            </w:r>
          </w:p>
        </w:tc>
        <w:tc>
          <w:tcPr>
            <w:tcW w:w="11319" w:type="dxa"/>
            <w:tcBorders>
              <w:top w:val="single" w:color="auto" w:sz="4" w:space="0"/>
              <w:left w:val="nil"/>
              <w:bottom w:val="single" w:color="auto" w:sz="4" w:space="0"/>
              <w:right w:val="single" w:color="auto" w:sz="4" w:space="0"/>
            </w:tcBorders>
            <w:noWrap w:val="0"/>
            <w:vAlign w:val="center"/>
          </w:tcPr>
          <w:p w14:paraId="1CB15C8B">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color w:val="000000"/>
                <w:kern w:val="0"/>
                <w:sz w:val="32"/>
                <w:szCs w:val="32"/>
                <w:highlight w:val="none"/>
              </w:rPr>
              <w:t>运营单位应当严格车辆、驾驶员核验，不断提高核验技术能力，通过线上技术筛查和线下实地审核相结合的，灵活多样的核验手段，保证提供服务的车辆具备合法营运资质，驾驶员具有合法从业资格。保证线上提供服务的车辆、驾驶员与线下实际提供服务的车辆、驾驶员一致。及时清理不符合规定的车辆和驾驶员，保证订单合规率。</w:t>
            </w:r>
            <w:r>
              <w:rPr>
                <w:rFonts w:hint="eastAsia" w:ascii="方正仿宋_GBK" w:hAnsi="方正仿宋_GBK" w:eastAsia="方正仿宋_GBK" w:cs="方正仿宋_GBK"/>
                <w:color w:val="000000"/>
                <w:kern w:val="0"/>
                <w:sz w:val="32"/>
                <w:szCs w:val="32"/>
                <w:highlight w:val="none"/>
              </w:rPr>
              <w:br w:type="textWrapping"/>
            </w:r>
            <w:r>
              <w:rPr>
                <w:rFonts w:hint="eastAsia" w:ascii="方正仿宋_GBK" w:hAnsi="方正仿宋_GBK" w:eastAsia="方正仿宋_GBK" w:cs="方正仿宋_GBK"/>
                <w:kern w:val="0"/>
                <w:sz w:val="32"/>
                <w:szCs w:val="32"/>
                <w:highlight w:val="none"/>
              </w:rPr>
              <w:t>订单合规率</w:t>
            </w:r>
            <w:r>
              <w:rPr>
                <w:rFonts w:hint="eastAsia" w:ascii="Times New Roman" w:hAnsi="Times New Roman" w:eastAsia="方正仿宋_GBK" w:cs="Times New Roman"/>
                <w:color w:val="000000"/>
                <w:kern w:val="0"/>
                <w:sz w:val="32"/>
                <w:szCs w:val="32"/>
                <w:highlight w:val="none"/>
                <w:lang w:val="en-US" w:eastAsia="zh-CN"/>
              </w:rPr>
              <w:t>100%</w:t>
            </w:r>
            <w:r>
              <w:rPr>
                <w:rFonts w:hint="eastAsia" w:ascii="方正仿宋_GBK" w:hAnsi="方正仿宋_GBK" w:eastAsia="方正仿宋_GBK" w:cs="方正仿宋_GBK"/>
                <w:kern w:val="0"/>
                <w:sz w:val="32"/>
                <w:szCs w:val="32"/>
                <w:highlight w:val="none"/>
              </w:rPr>
              <w:t>，得</w:t>
            </w:r>
            <w:r>
              <w:rPr>
                <w:rFonts w:hint="eastAsia" w:ascii="Times New Roman" w:hAnsi="Times New Roman" w:eastAsia="方正仿宋_GBK" w:cs="Times New Roman"/>
                <w:color w:val="000000"/>
                <w:kern w:val="0"/>
                <w:sz w:val="32"/>
                <w:szCs w:val="32"/>
                <w:highlight w:val="none"/>
                <w:lang w:val="en-US" w:eastAsia="zh-CN"/>
              </w:rPr>
              <w:t>30</w:t>
            </w:r>
            <w:r>
              <w:rPr>
                <w:rFonts w:hint="eastAsia" w:ascii="方正仿宋_GBK" w:hAnsi="方正仿宋_GBK" w:eastAsia="方正仿宋_GBK" w:cs="方正仿宋_GBK"/>
                <w:kern w:val="0"/>
                <w:sz w:val="32"/>
                <w:szCs w:val="32"/>
                <w:highlight w:val="none"/>
              </w:rPr>
              <w:t>分；</w:t>
            </w:r>
            <w:r>
              <w:rPr>
                <w:rFonts w:hint="eastAsia" w:ascii="Times New Roman" w:hAnsi="Times New Roman" w:eastAsia="方正仿宋_GBK" w:cs="Times New Roman"/>
                <w:color w:val="000000"/>
                <w:kern w:val="0"/>
                <w:sz w:val="32"/>
                <w:szCs w:val="32"/>
                <w:highlight w:val="none"/>
                <w:lang w:val="en-US" w:eastAsia="zh-CN"/>
              </w:rPr>
              <w:t>80</w:t>
            </w:r>
            <w:r>
              <w:rPr>
                <w:rFonts w:hint="eastAsia" w:ascii="方正仿宋_GBK" w:hAnsi="方正仿宋_GBK" w:eastAsia="方正仿宋_GBK" w:cs="方正仿宋_GBK"/>
                <w:kern w:val="0"/>
                <w:sz w:val="32"/>
                <w:szCs w:val="32"/>
                <w:highlight w:val="none"/>
              </w:rPr>
              <w:t>%≤订单合规率＜</w:t>
            </w:r>
            <w:r>
              <w:rPr>
                <w:rFonts w:hint="eastAsia" w:ascii="Times New Roman" w:hAnsi="Times New Roman" w:eastAsia="方正仿宋_GBK" w:cs="Times New Roman"/>
                <w:color w:val="000000"/>
                <w:kern w:val="0"/>
                <w:sz w:val="32"/>
                <w:szCs w:val="32"/>
                <w:highlight w:val="none"/>
                <w:lang w:val="en-US" w:eastAsia="zh-CN"/>
              </w:rPr>
              <w:t>100%</w:t>
            </w:r>
            <w:r>
              <w:rPr>
                <w:rFonts w:hint="eastAsia" w:ascii="方正仿宋_GBK" w:hAnsi="方正仿宋_GBK" w:eastAsia="方正仿宋_GBK" w:cs="方正仿宋_GBK"/>
                <w:kern w:val="0"/>
                <w:sz w:val="32"/>
                <w:szCs w:val="32"/>
                <w:highlight w:val="none"/>
              </w:rPr>
              <w:t>时,每低于</w:t>
            </w:r>
            <w:r>
              <w:rPr>
                <w:rFonts w:hint="eastAsia" w:ascii="Times New Roman" w:hAnsi="Times New Roman" w:eastAsia="方正仿宋_GBK" w:cs="Times New Roman"/>
                <w:color w:val="000000"/>
                <w:kern w:val="0"/>
                <w:sz w:val="32"/>
                <w:szCs w:val="32"/>
                <w:highlight w:val="none"/>
                <w:lang w:val="en-US" w:eastAsia="zh-CN"/>
              </w:rPr>
              <w:t>100%</w:t>
            </w:r>
            <w:r>
              <w:rPr>
                <w:rFonts w:hint="eastAsia" w:ascii="方正仿宋_GBK" w:hAnsi="方正仿宋_GBK" w:eastAsia="方正仿宋_GBK" w:cs="方正仿宋_GBK"/>
                <w:kern w:val="0"/>
                <w:sz w:val="32"/>
                <w:szCs w:val="32"/>
                <w:highlight w:val="none"/>
              </w:rPr>
              <w:t>一个百分点扣除</w:t>
            </w:r>
            <w:r>
              <w:rPr>
                <w:rFonts w:hint="eastAsia" w:ascii="Times New Roman" w:hAnsi="Times New Roman" w:eastAsia="方正仿宋_GBK" w:cs="Times New Roman"/>
                <w:color w:val="000000"/>
                <w:kern w:val="0"/>
                <w:sz w:val="32"/>
                <w:szCs w:val="32"/>
                <w:highlight w:val="none"/>
                <w:lang w:val="en-US" w:eastAsia="zh-CN"/>
              </w:rPr>
              <w:t>0.5</w:t>
            </w:r>
            <w:r>
              <w:rPr>
                <w:rFonts w:hint="eastAsia" w:ascii="方正仿宋_GBK" w:hAnsi="方正仿宋_GBK" w:eastAsia="方正仿宋_GBK" w:cs="方正仿宋_GBK"/>
                <w:kern w:val="0"/>
                <w:sz w:val="32"/>
                <w:szCs w:val="32"/>
                <w:highlight w:val="none"/>
              </w:rPr>
              <w:t>分；订单合规率＜80%时扣除</w:t>
            </w:r>
            <w:r>
              <w:rPr>
                <w:rFonts w:hint="eastAsia" w:ascii="Times New Roman" w:hAnsi="Times New Roman" w:eastAsia="方正仿宋_GBK" w:cs="Times New Roman"/>
                <w:color w:val="000000"/>
                <w:kern w:val="0"/>
                <w:sz w:val="32"/>
                <w:szCs w:val="32"/>
                <w:highlight w:val="none"/>
                <w:lang w:val="en-US" w:eastAsia="zh-CN"/>
              </w:rPr>
              <w:t>10</w:t>
            </w:r>
            <w:r>
              <w:rPr>
                <w:rFonts w:hint="eastAsia" w:ascii="方正仿宋_GBK" w:hAnsi="方正仿宋_GBK" w:eastAsia="方正仿宋_GBK" w:cs="方正仿宋_GBK"/>
                <w:kern w:val="0"/>
                <w:sz w:val="32"/>
                <w:szCs w:val="32"/>
                <w:highlight w:val="none"/>
              </w:rPr>
              <w:t>分,且每低于80%一个百分点再扣</w:t>
            </w:r>
            <w:r>
              <w:rPr>
                <w:rFonts w:hint="eastAsia" w:ascii="Times New Roman" w:hAnsi="Times New Roman" w:eastAsia="方正仿宋_GBK" w:cs="Times New Roman"/>
                <w:color w:val="000000"/>
                <w:kern w:val="0"/>
                <w:sz w:val="32"/>
                <w:szCs w:val="32"/>
                <w:highlight w:val="none"/>
                <w:lang w:val="en-US" w:eastAsia="zh-CN"/>
              </w:rPr>
              <w:t>1</w:t>
            </w:r>
            <w:r>
              <w:rPr>
                <w:rFonts w:hint="eastAsia" w:ascii="方正仿宋_GBK" w:hAnsi="方正仿宋_GBK" w:eastAsia="方正仿宋_GBK" w:cs="方正仿宋_GBK"/>
                <w:kern w:val="0"/>
                <w:sz w:val="32"/>
                <w:szCs w:val="32"/>
                <w:highlight w:val="none"/>
              </w:rPr>
              <w:t>分，扣完为止。</w:t>
            </w:r>
          </w:p>
          <w:p w14:paraId="60453AAA">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运营单位未将本地运营数据传送至网约车监管信息交互平台的，该项不得分。</w:t>
            </w:r>
          </w:p>
        </w:tc>
        <w:tc>
          <w:tcPr>
            <w:tcW w:w="892" w:type="dxa"/>
            <w:tcBorders>
              <w:top w:val="single" w:color="auto" w:sz="4" w:space="0"/>
              <w:left w:val="nil"/>
              <w:bottom w:val="single" w:color="auto" w:sz="4" w:space="0"/>
              <w:right w:val="single" w:color="auto" w:sz="4" w:space="0"/>
            </w:tcBorders>
            <w:noWrap/>
            <w:vAlign w:val="center"/>
          </w:tcPr>
          <w:p w14:paraId="5A9EAECB">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Times New Roman" w:hAnsi="Times New Roman" w:eastAsia="方正仿宋_GBK" w:cs="Times New Roman"/>
                <w:color w:val="000000"/>
                <w:kern w:val="0"/>
                <w:sz w:val="32"/>
                <w:szCs w:val="32"/>
                <w:highlight w:val="none"/>
                <w:lang w:val="en-US" w:eastAsia="zh-CN"/>
              </w:rPr>
              <w:t>30</w:t>
            </w:r>
          </w:p>
        </w:tc>
      </w:tr>
      <w:tr w14:paraId="3A6342A9">
        <w:tblPrEx>
          <w:tblCellMar>
            <w:top w:w="0" w:type="dxa"/>
            <w:left w:w="108" w:type="dxa"/>
            <w:bottom w:w="0" w:type="dxa"/>
            <w:right w:w="108" w:type="dxa"/>
          </w:tblCellMar>
        </w:tblPrEx>
        <w:trPr>
          <w:trHeight w:val="822" w:hRule="atLeast"/>
          <w:jc w:val="center"/>
        </w:trPr>
        <w:tc>
          <w:tcPr>
            <w:tcW w:w="1655" w:type="dxa"/>
            <w:vMerge w:val="continue"/>
            <w:tcBorders>
              <w:top w:val="single" w:color="auto" w:sz="4" w:space="0"/>
              <w:left w:val="single" w:color="auto" w:sz="4" w:space="0"/>
              <w:bottom w:val="single" w:color="auto" w:sz="4" w:space="0"/>
              <w:right w:val="single" w:color="auto" w:sz="4" w:space="0"/>
            </w:tcBorders>
            <w:noWrap w:val="0"/>
            <w:vAlign w:val="center"/>
          </w:tcPr>
          <w:p w14:paraId="71918B22">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rPr>
            </w:pPr>
          </w:p>
        </w:tc>
        <w:tc>
          <w:tcPr>
            <w:tcW w:w="1174" w:type="dxa"/>
            <w:tcBorders>
              <w:top w:val="single" w:color="auto" w:sz="4" w:space="0"/>
              <w:left w:val="single" w:color="auto" w:sz="4" w:space="0"/>
              <w:bottom w:val="single" w:color="auto" w:sz="4" w:space="0"/>
              <w:right w:val="single" w:color="auto" w:sz="4" w:space="0"/>
            </w:tcBorders>
            <w:noWrap/>
            <w:vAlign w:val="center"/>
          </w:tcPr>
          <w:p w14:paraId="29DB91A7">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车载设备</w:t>
            </w:r>
          </w:p>
        </w:tc>
        <w:tc>
          <w:tcPr>
            <w:tcW w:w="11319" w:type="dxa"/>
            <w:tcBorders>
              <w:top w:val="single" w:color="auto" w:sz="4" w:space="0"/>
              <w:left w:val="nil"/>
              <w:bottom w:val="single" w:color="auto" w:sz="4" w:space="0"/>
              <w:right w:val="single" w:color="auto" w:sz="4" w:space="0"/>
            </w:tcBorders>
            <w:noWrap w:val="0"/>
            <w:vAlign w:val="center"/>
          </w:tcPr>
          <w:p w14:paraId="6F5DC350">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车辆安装固定式具有行驶记录功能的车辆卫星定位装置及应急报警装置并统一接入黄山市出租车信息监管平台，车载设备在线率应达到</w:t>
            </w:r>
            <w:r>
              <w:rPr>
                <w:rFonts w:hint="eastAsia" w:ascii="Times New Roman" w:hAnsi="Times New Roman" w:eastAsia="方正仿宋_GBK" w:cs="Times New Roman"/>
                <w:color w:val="000000"/>
                <w:kern w:val="0"/>
                <w:sz w:val="32"/>
                <w:szCs w:val="32"/>
                <w:highlight w:val="none"/>
                <w:lang w:val="en-US" w:eastAsia="zh-CN"/>
              </w:rPr>
              <w:t>100%</w:t>
            </w:r>
            <w:r>
              <w:rPr>
                <w:rFonts w:hint="eastAsia" w:ascii="方正仿宋_GBK" w:hAnsi="方正仿宋_GBK" w:eastAsia="方正仿宋_GBK" w:cs="方正仿宋_GBK"/>
                <w:color w:val="000000"/>
                <w:kern w:val="0"/>
                <w:sz w:val="32"/>
                <w:szCs w:val="32"/>
                <w:highlight w:val="none"/>
              </w:rPr>
              <w:t>，每低于</w:t>
            </w:r>
            <w:r>
              <w:rPr>
                <w:rFonts w:hint="eastAsia" w:ascii="Times New Roman" w:hAnsi="Times New Roman" w:eastAsia="方正仿宋_GBK" w:cs="Times New Roman"/>
                <w:color w:val="000000"/>
                <w:kern w:val="0"/>
                <w:sz w:val="32"/>
                <w:szCs w:val="32"/>
                <w:highlight w:val="none"/>
                <w:lang w:val="en-US" w:eastAsia="zh-CN"/>
              </w:rPr>
              <w:t>1</w:t>
            </w:r>
            <w:r>
              <w:rPr>
                <w:rFonts w:hint="eastAsia" w:ascii="方正仿宋_GBK" w:hAnsi="方正仿宋_GBK" w:eastAsia="方正仿宋_GBK" w:cs="方正仿宋_GBK"/>
                <w:color w:val="000000"/>
                <w:kern w:val="0"/>
                <w:sz w:val="32"/>
                <w:szCs w:val="32"/>
                <w:highlight w:val="none"/>
              </w:rPr>
              <w:t>个百分点，扣除</w:t>
            </w:r>
            <w:r>
              <w:rPr>
                <w:rFonts w:hint="eastAsia" w:ascii="Times New Roman" w:hAnsi="Times New Roman" w:eastAsia="方正仿宋_GBK" w:cs="Times New Roman"/>
                <w:color w:val="000000"/>
                <w:kern w:val="0"/>
                <w:sz w:val="32"/>
                <w:szCs w:val="32"/>
                <w:highlight w:val="none"/>
                <w:lang w:val="en-US" w:eastAsia="zh-CN"/>
              </w:rPr>
              <w:t>0.5</w:t>
            </w:r>
            <w:r>
              <w:rPr>
                <w:rFonts w:hint="eastAsia" w:ascii="方正仿宋_GBK" w:hAnsi="方正仿宋_GBK" w:eastAsia="方正仿宋_GBK" w:cs="方正仿宋_GBK"/>
                <w:color w:val="000000"/>
                <w:kern w:val="0"/>
                <w:sz w:val="32"/>
                <w:szCs w:val="32"/>
                <w:highlight w:val="none"/>
                <w:lang w:val="en-US" w:eastAsia="zh-CN"/>
              </w:rPr>
              <w:t>分</w:t>
            </w:r>
            <w:r>
              <w:rPr>
                <w:rFonts w:hint="eastAsia" w:ascii="方正仿宋_GBK" w:hAnsi="方正仿宋_GBK" w:eastAsia="方正仿宋_GBK" w:cs="方正仿宋_GBK"/>
                <w:color w:val="000000"/>
                <w:kern w:val="0"/>
                <w:sz w:val="32"/>
                <w:szCs w:val="32"/>
                <w:highlight w:val="none"/>
              </w:rPr>
              <w:t>，扣完为止。</w:t>
            </w:r>
          </w:p>
        </w:tc>
        <w:tc>
          <w:tcPr>
            <w:tcW w:w="892" w:type="dxa"/>
            <w:tcBorders>
              <w:top w:val="single" w:color="auto" w:sz="4" w:space="0"/>
              <w:left w:val="nil"/>
              <w:bottom w:val="single" w:color="auto" w:sz="4" w:space="0"/>
              <w:right w:val="single" w:color="auto" w:sz="4" w:space="0"/>
            </w:tcBorders>
            <w:noWrap/>
            <w:vAlign w:val="center"/>
          </w:tcPr>
          <w:p w14:paraId="4FC03606">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Times New Roman" w:hAnsi="Times New Roman" w:eastAsia="方正仿宋_GBK" w:cs="Times New Roman"/>
                <w:color w:val="000000"/>
                <w:kern w:val="0"/>
                <w:sz w:val="32"/>
                <w:szCs w:val="32"/>
                <w:highlight w:val="none"/>
                <w:lang w:val="en-US" w:eastAsia="zh-CN"/>
              </w:rPr>
              <w:t>5</w:t>
            </w:r>
          </w:p>
        </w:tc>
      </w:tr>
      <w:tr w14:paraId="07B5DCAB">
        <w:tblPrEx>
          <w:tblCellMar>
            <w:top w:w="0" w:type="dxa"/>
            <w:left w:w="108" w:type="dxa"/>
            <w:bottom w:w="0" w:type="dxa"/>
            <w:right w:w="108" w:type="dxa"/>
          </w:tblCellMar>
        </w:tblPrEx>
        <w:trPr>
          <w:trHeight w:val="1752" w:hRule="atLeast"/>
          <w:jc w:val="center"/>
        </w:trPr>
        <w:tc>
          <w:tcPr>
            <w:tcW w:w="1655" w:type="dxa"/>
            <w:vMerge w:val="restart"/>
            <w:tcBorders>
              <w:top w:val="single" w:color="auto" w:sz="4" w:space="0"/>
              <w:left w:val="single" w:color="auto" w:sz="4" w:space="0"/>
              <w:bottom w:val="single" w:color="auto" w:sz="4" w:space="0"/>
              <w:right w:val="single" w:color="auto" w:sz="4" w:space="0"/>
            </w:tcBorders>
            <w:noWrap w:val="0"/>
            <w:vAlign w:val="center"/>
          </w:tcPr>
          <w:p w14:paraId="75BE2AE0">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运营服务</w:t>
            </w:r>
            <w:r>
              <w:rPr>
                <w:rFonts w:hint="eastAsia" w:ascii="方正仿宋_GBK" w:hAnsi="方正仿宋_GBK" w:eastAsia="方正仿宋_GBK" w:cs="方正仿宋_GBK"/>
                <w:color w:val="000000"/>
                <w:kern w:val="0"/>
                <w:sz w:val="32"/>
                <w:szCs w:val="32"/>
                <w:highlight w:val="none"/>
              </w:rPr>
              <w:br w:type="textWrapping"/>
            </w:r>
            <w:r>
              <w:rPr>
                <w:rFonts w:hint="eastAsia" w:ascii="方正仿宋_GBK" w:hAnsi="方正仿宋_GBK" w:eastAsia="方正仿宋_GBK" w:cs="方正仿宋_GBK"/>
                <w:color w:val="000000"/>
                <w:kern w:val="0"/>
                <w:sz w:val="32"/>
                <w:szCs w:val="32"/>
                <w:highlight w:val="none"/>
              </w:rPr>
              <w:t>（</w:t>
            </w:r>
            <w:r>
              <w:rPr>
                <w:rFonts w:hint="eastAsia" w:ascii="方正仿宋_GBK" w:hAnsi="方正仿宋_GBK" w:eastAsia="方正仿宋_GBK" w:cs="方正仿宋_GBK"/>
                <w:color w:val="000000"/>
                <w:kern w:val="0"/>
                <w:sz w:val="32"/>
                <w:szCs w:val="32"/>
                <w:highlight w:val="none"/>
                <w:lang w:val="en-US" w:eastAsia="zh-CN"/>
              </w:rPr>
              <w:t>25</w:t>
            </w:r>
            <w:r>
              <w:rPr>
                <w:rFonts w:hint="eastAsia" w:ascii="方正仿宋_GBK" w:hAnsi="方正仿宋_GBK" w:eastAsia="方正仿宋_GBK" w:cs="方正仿宋_GBK"/>
                <w:color w:val="000000"/>
                <w:kern w:val="0"/>
                <w:sz w:val="32"/>
                <w:szCs w:val="32"/>
                <w:highlight w:val="none"/>
              </w:rPr>
              <w:t>分）</w:t>
            </w:r>
          </w:p>
        </w:tc>
        <w:tc>
          <w:tcPr>
            <w:tcW w:w="1174" w:type="dxa"/>
            <w:tcBorders>
              <w:top w:val="single" w:color="auto" w:sz="4" w:space="0"/>
              <w:left w:val="single" w:color="auto" w:sz="4" w:space="0"/>
              <w:bottom w:val="single" w:color="auto" w:sz="4" w:space="0"/>
              <w:right w:val="single" w:color="auto" w:sz="4" w:space="0"/>
            </w:tcBorders>
            <w:noWrap/>
            <w:vAlign w:val="center"/>
          </w:tcPr>
          <w:p w14:paraId="7556BF51">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投诉处理</w:t>
            </w:r>
          </w:p>
        </w:tc>
        <w:tc>
          <w:tcPr>
            <w:tcW w:w="11319" w:type="dxa"/>
            <w:tcBorders>
              <w:top w:val="single" w:color="auto" w:sz="4" w:space="0"/>
              <w:left w:val="single" w:color="auto" w:sz="4" w:space="0"/>
              <w:bottom w:val="single" w:color="auto" w:sz="4" w:space="0"/>
              <w:right w:val="single" w:color="auto" w:sz="4" w:space="0"/>
            </w:tcBorders>
            <w:noWrap w:val="0"/>
            <w:vAlign w:val="center"/>
          </w:tcPr>
          <w:p w14:paraId="7A83ECB3">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rPr>
            </w:pPr>
            <w:r>
              <w:rPr>
                <w:rFonts w:hint="eastAsia" w:ascii="Times New Roman" w:hAnsi="Times New Roman" w:eastAsia="方正仿宋_GBK" w:cs="Times New Roman"/>
                <w:color w:val="000000"/>
                <w:kern w:val="0"/>
                <w:sz w:val="32"/>
                <w:szCs w:val="32"/>
                <w:highlight w:val="none"/>
                <w:lang w:val="en-US" w:eastAsia="zh-CN"/>
              </w:rPr>
              <w:t>1</w:t>
            </w:r>
            <w:r>
              <w:rPr>
                <w:rFonts w:hint="eastAsia" w:ascii="方正仿宋_GBK" w:hAnsi="方正仿宋_GBK" w:eastAsia="方正仿宋_GBK" w:cs="方正仿宋_GBK"/>
                <w:color w:val="000000"/>
                <w:kern w:val="0"/>
                <w:sz w:val="32"/>
                <w:szCs w:val="32"/>
                <w:highlight w:val="none"/>
                <w:lang w:val="en-US" w:eastAsia="zh-CN"/>
              </w:rPr>
              <w:t>、</w:t>
            </w:r>
            <w:r>
              <w:rPr>
                <w:rFonts w:hint="eastAsia" w:ascii="方正仿宋_GBK" w:hAnsi="方正仿宋_GBK" w:eastAsia="方正仿宋_GBK" w:cs="方正仿宋_GBK"/>
                <w:color w:val="000000"/>
                <w:kern w:val="0"/>
                <w:sz w:val="32"/>
                <w:szCs w:val="32"/>
                <w:highlight w:val="none"/>
              </w:rPr>
              <w:t>考核周期内，发生驾驶员或乘客有效投诉每增加</w:t>
            </w:r>
            <w:r>
              <w:rPr>
                <w:rFonts w:hint="eastAsia" w:ascii="Times New Roman" w:hAnsi="Times New Roman" w:eastAsia="方正仿宋_GBK" w:cs="Times New Roman"/>
                <w:color w:val="000000"/>
                <w:kern w:val="0"/>
                <w:sz w:val="32"/>
                <w:szCs w:val="32"/>
                <w:highlight w:val="none"/>
                <w:lang w:val="en-US" w:eastAsia="zh-CN"/>
              </w:rPr>
              <w:t xml:space="preserve"> 0.01</w:t>
            </w:r>
            <w:r>
              <w:rPr>
                <w:rFonts w:hint="eastAsia" w:ascii="方正仿宋_GBK" w:hAnsi="方正仿宋_GBK" w:eastAsia="方正仿宋_GBK" w:cs="方正仿宋_GBK"/>
                <w:color w:val="000000"/>
                <w:kern w:val="0"/>
                <w:sz w:val="32"/>
                <w:szCs w:val="32"/>
                <w:highlight w:val="none"/>
              </w:rPr>
              <w:t>次/车扣</w:t>
            </w:r>
            <w:r>
              <w:rPr>
                <w:rFonts w:hint="eastAsia" w:ascii="Times New Roman" w:hAnsi="Times New Roman" w:eastAsia="方正仿宋_GBK" w:cs="Times New Roman"/>
                <w:color w:val="000000"/>
                <w:kern w:val="0"/>
                <w:sz w:val="32"/>
                <w:szCs w:val="32"/>
                <w:highlight w:val="none"/>
                <w:lang w:val="en-US" w:eastAsia="zh-CN"/>
              </w:rPr>
              <w:t>0.5</w:t>
            </w:r>
            <w:r>
              <w:rPr>
                <w:rFonts w:hint="eastAsia" w:ascii="方正仿宋_GBK" w:hAnsi="方正仿宋_GBK" w:eastAsia="方正仿宋_GBK" w:cs="方正仿宋_GBK"/>
                <w:color w:val="000000"/>
                <w:kern w:val="0"/>
                <w:sz w:val="32"/>
                <w:szCs w:val="32"/>
                <w:highlight w:val="none"/>
              </w:rPr>
              <w:t>分；</w:t>
            </w:r>
            <w:r>
              <w:rPr>
                <w:rFonts w:hint="eastAsia" w:ascii="方正仿宋_GBK" w:hAnsi="方正仿宋_GBK" w:eastAsia="方正仿宋_GBK" w:cs="方正仿宋_GBK"/>
                <w:color w:val="000000"/>
                <w:kern w:val="0"/>
                <w:sz w:val="32"/>
                <w:szCs w:val="32"/>
                <w:highlight w:val="none"/>
              </w:rPr>
              <w:br w:type="textWrapping"/>
            </w:r>
            <w:r>
              <w:rPr>
                <w:rFonts w:hint="eastAsia" w:ascii="Times New Roman" w:hAnsi="Times New Roman" w:eastAsia="方正仿宋_GBK" w:cs="Times New Roman"/>
                <w:color w:val="000000"/>
                <w:kern w:val="0"/>
                <w:sz w:val="32"/>
                <w:szCs w:val="32"/>
                <w:highlight w:val="none"/>
                <w:lang w:val="en-US" w:eastAsia="zh-CN"/>
              </w:rPr>
              <w:t>2</w:t>
            </w:r>
            <w:r>
              <w:rPr>
                <w:rFonts w:hint="eastAsia" w:ascii="方正仿宋_GBK" w:hAnsi="方正仿宋_GBK" w:eastAsia="方正仿宋_GBK" w:cs="方正仿宋_GBK"/>
                <w:color w:val="000000"/>
                <w:kern w:val="0"/>
                <w:sz w:val="32"/>
                <w:szCs w:val="32"/>
                <w:highlight w:val="none"/>
                <w:lang w:val="en-US" w:eastAsia="zh-CN"/>
              </w:rPr>
              <w:t>、</w:t>
            </w:r>
            <w:r>
              <w:rPr>
                <w:rFonts w:hint="eastAsia" w:ascii="方正仿宋_GBK" w:hAnsi="方正仿宋_GBK" w:eastAsia="方正仿宋_GBK" w:cs="方正仿宋_GBK"/>
                <w:color w:val="000000"/>
                <w:kern w:val="0"/>
                <w:sz w:val="32"/>
                <w:szCs w:val="32"/>
                <w:highlight w:val="none"/>
              </w:rPr>
              <w:t>投诉由平台先行调查处理，并将处理结果如实告知行业管理部门，行业管理部门将核实调查情况，未在时限内处理投诉的每发生一次扣除</w:t>
            </w:r>
            <w:r>
              <w:rPr>
                <w:rFonts w:hint="eastAsia" w:ascii="Times New Roman" w:hAnsi="Times New Roman" w:eastAsia="方正仿宋_GBK" w:cs="Times New Roman"/>
                <w:color w:val="000000"/>
                <w:kern w:val="0"/>
                <w:sz w:val="32"/>
                <w:szCs w:val="32"/>
                <w:highlight w:val="none"/>
                <w:lang w:val="en-US" w:eastAsia="zh-CN"/>
              </w:rPr>
              <w:t>1</w:t>
            </w:r>
            <w:r>
              <w:rPr>
                <w:rFonts w:hint="eastAsia" w:ascii="方正仿宋_GBK" w:hAnsi="方正仿宋_GBK" w:eastAsia="方正仿宋_GBK" w:cs="方正仿宋_GBK"/>
                <w:color w:val="000000"/>
                <w:kern w:val="0"/>
                <w:sz w:val="32"/>
                <w:szCs w:val="32"/>
                <w:highlight w:val="none"/>
              </w:rPr>
              <w:t>分；谎报瞒报调查结果，一次扣</w:t>
            </w:r>
            <w:r>
              <w:rPr>
                <w:rFonts w:hint="eastAsia" w:ascii="Times New Roman" w:hAnsi="Times New Roman" w:eastAsia="方正仿宋_GBK" w:cs="Times New Roman"/>
                <w:color w:val="000000"/>
                <w:kern w:val="0"/>
                <w:sz w:val="32"/>
                <w:szCs w:val="32"/>
                <w:highlight w:val="none"/>
                <w:lang w:val="en-US" w:eastAsia="zh-CN"/>
              </w:rPr>
              <w:t>5</w:t>
            </w:r>
            <w:r>
              <w:rPr>
                <w:rFonts w:hint="eastAsia" w:ascii="方正仿宋_GBK" w:hAnsi="方正仿宋_GBK" w:eastAsia="方正仿宋_GBK" w:cs="方正仿宋_GBK"/>
                <w:color w:val="000000"/>
                <w:kern w:val="0"/>
                <w:sz w:val="32"/>
                <w:szCs w:val="32"/>
                <w:highlight w:val="none"/>
              </w:rPr>
              <w:t>分；</w:t>
            </w:r>
            <w:r>
              <w:rPr>
                <w:rFonts w:hint="eastAsia" w:ascii="方正仿宋_GBK" w:hAnsi="方正仿宋_GBK" w:eastAsia="方正仿宋_GBK" w:cs="方正仿宋_GBK"/>
                <w:color w:val="000000"/>
                <w:kern w:val="0"/>
                <w:sz w:val="32"/>
                <w:szCs w:val="32"/>
                <w:highlight w:val="none"/>
              </w:rPr>
              <w:br w:type="textWrapping"/>
            </w:r>
            <w:r>
              <w:rPr>
                <w:rFonts w:hint="eastAsia" w:ascii="Times New Roman" w:hAnsi="Times New Roman" w:eastAsia="方正仿宋_GBK" w:cs="Times New Roman"/>
                <w:color w:val="000000"/>
                <w:kern w:val="0"/>
                <w:sz w:val="32"/>
                <w:szCs w:val="32"/>
                <w:highlight w:val="none"/>
                <w:lang w:val="en-US" w:eastAsia="zh-CN"/>
              </w:rPr>
              <w:t>3</w:t>
            </w:r>
            <w:r>
              <w:rPr>
                <w:rFonts w:hint="eastAsia" w:ascii="方正仿宋_GBK" w:hAnsi="方正仿宋_GBK" w:eastAsia="方正仿宋_GBK" w:cs="方正仿宋_GBK"/>
                <w:color w:val="000000"/>
                <w:kern w:val="0"/>
                <w:sz w:val="32"/>
                <w:szCs w:val="32"/>
                <w:highlight w:val="none"/>
                <w:lang w:val="en-US" w:eastAsia="zh-CN"/>
              </w:rPr>
              <w:t>、</w:t>
            </w:r>
            <w:r>
              <w:rPr>
                <w:rFonts w:hint="eastAsia" w:ascii="方正仿宋_GBK" w:hAnsi="方正仿宋_GBK" w:eastAsia="方正仿宋_GBK" w:cs="方正仿宋_GBK"/>
                <w:color w:val="000000"/>
                <w:kern w:val="0"/>
                <w:sz w:val="32"/>
                <w:szCs w:val="32"/>
                <w:highlight w:val="none"/>
              </w:rPr>
              <w:t>考核周期内，因服务质量问题，被市级媒体或机构批评或曝光扣</w:t>
            </w:r>
            <w:r>
              <w:rPr>
                <w:rFonts w:hint="eastAsia" w:ascii="Times New Roman" w:hAnsi="Times New Roman" w:eastAsia="方正仿宋_GBK" w:cs="Times New Roman"/>
                <w:color w:val="000000"/>
                <w:kern w:val="0"/>
                <w:sz w:val="32"/>
                <w:szCs w:val="32"/>
                <w:highlight w:val="none"/>
                <w:lang w:val="en-US" w:eastAsia="zh-CN"/>
              </w:rPr>
              <w:t>10</w:t>
            </w:r>
            <w:r>
              <w:rPr>
                <w:rFonts w:hint="eastAsia" w:ascii="方正仿宋_GBK" w:hAnsi="方正仿宋_GBK" w:eastAsia="方正仿宋_GBK" w:cs="方正仿宋_GBK"/>
                <w:color w:val="000000"/>
                <w:kern w:val="0"/>
                <w:sz w:val="32"/>
                <w:szCs w:val="32"/>
                <w:highlight w:val="none"/>
              </w:rPr>
              <w:t>分；</w:t>
            </w:r>
            <w:r>
              <w:rPr>
                <w:rFonts w:hint="eastAsia" w:ascii="方正仿宋_GBK" w:hAnsi="方正仿宋_GBK" w:eastAsia="方正仿宋_GBK" w:cs="方正仿宋_GBK"/>
                <w:color w:val="000000"/>
                <w:kern w:val="0"/>
                <w:sz w:val="32"/>
                <w:szCs w:val="32"/>
                <w:highlight w:val="none"/>
              </w:rPr>
              <w:br w:type="textWrapping"/>
            </w:r>
            <w:r>
              <w:rPr>
                <w:rFonts w:hint="eastAsia" w:ascii="Times New Roman" w:hAnsi="Times New Roman" w:eastAsia="方正仿宋_GBK" w:cs="Times New Roman"/>
                <w:color w:val="000000"/>
                <w:kern w:val="0"/>
                <w:sz w:val="32"/>
                <w:szCs w:val="32"/>
                <w:highlight w:val="none"/>
                <w:lang w:val="en-US" w:eastAsia="zh-CN"/>
              </w:rPr>
              <w:t>4</w:t>
            </w:r>
            <w:r>
              <w:rPr>
                <w:rFonts w:hint="eastAsia" w:ascii="方正仿宋_GBK" w:hAnsi="方正仿宋_GBK" w:eastAsia="方正仿宋_GBK" w:cs="方正仿宋_GBK"/>
                <w:color w:val="000000"/>
                <w:kern w:val="0"/>
                <w:sz w:val="32"/>
                <w:szCs w:val="32"/>
                <w:highlight w:val="none"/>
                <w:lang w:val="en-US" w:eastAsia="zh-CN"/>
              </w:rPr>
              <w:t>、</w:t>
            </w:r>
            <w:r>
              <w:rPr>
                <w:rFonts w:hint="eastAsia" w:ascii="方正仿宋_GBK" w:hAnsi="方正仿宋_GBK" w:eastAsia="方正仿宋_GBK" w:cs="方正仿宋_GBK"/>
                <w:color w:val="000000"/>
                <w:kern w:val="0"/>
                <w:sz w:val="32"/>
                <w:szCs w:val="32"/>
                <w:highlight w:val="none"/>
              </w:rPr>
              <w:t>考核周期内，发生一次重特大恶性服务质量事件的一票否决。</w:t>
            </w:r>
          </w:p>
        </w:tc>
        <w:tc>
          <w:tcPr>
            <w:tcW w:w="892" w:type="dxa"/>
            <w:tcBorders>
              <w:top w:val="single" w:color="auto" w:sz="4" w:space="0"/>
              <w:left w:val="single" w:color="auto" w:sz="4" w:space="0"/>
              <w:bottom w:val="single" w:color="auto" w:sz="4" w:space="0"/>
              <w:right w:val="single" w:color="auto" w:sz="4" w:space="0"/>
            </w:tcBorders>
            <w:noWrap/>
            <w:vAlign w:val="center"/>
          </w:tcPr>
          <w:p w14:paraId="74A04C9B">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Times New Roman" w:hAnsi="Times New Roman" w:eastAsia="方正仿宋_GBK" w:cs="Times New Roman"/>
                <w:color w:val="000000"/>
                <w:kern w:val="0"/>
                <w:sz w:val="32"/>
                <w:szCs w:val="32"/>
                <w:highlight w:val="none"/>
                <w:lang w:val="en-US" w:eastAsia="zh-CN"/>
              </w:rPr>
              <w:t>10</w:t>
            </w:r>
          </w:p>
        </w:tc>
      </w:tr>
      <w:tr w14:paraId="341B467E">
        <w:tblPrEx>
          <w:tblCellMar>
            <w:top w:w="0" w:type="dxa"/>
            <w:left w:w="108" w:type="dxa"/>
            <w:bottom w:w="0" w:type="dxa"/>
            <w:right w:w="108" w:type="dxa"/>
          </w:tblCellMar>
        </w:tblPrEx>
        <w:trPr>
          <w:trHeight w:val="2173" w:hRule="atLeast"/>
          <w:jc w:val="center"/>
        </w:trPr>
        <w:tc>
          <w:tcPr>
            <w:tcW w:w="1655" w:type="dxa"/>
            <w:vMerge w:val="continue"/>
            <w:tcBorders>
              <w:top w:val="single" w:color="auto" w:sz="4" w:space="0"/>
              <w:left w:val="single" w:color="auto" w:sz="4" w:space="0"/>
              <w:bottom w:val="single" w:color="auto" w:sz="4" w:space="0"/>
              <w:right w:val="single" w:color="auto" w:sz="4" w:space="0"/>
            </w:tcBorders>
            <w:noWrap w:val="0"/>
            <w:vAlign w:val="center"/>
          </w:tcPr>
          <w:p w14:paraId="05680164">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rPr>
            </w:pPr>
          </w:p>
        </w:tc>
        <w:tc>
          <w:tcPr>
            <w:tcW w:w="1174" w:type="dxa"/>
            <w:tcBorders>
              <w:top w:val="single" w:color="auto" w:sz="4" w:space="0"/>
              <w:left w:val="single" w:color="auto" w:sz="4" w:space="0"/>
              <w:bottom w:val="single" w:color="auto" w:sz="4" w:space="0"/>
              <w:right w:val="single" w:color="auto" w:sz="4" w:space="0"/>
            </w:tcBorders>
            <w:noWrap/>
            <w:vAlign w:val="center"/>
          </w:tcPr>
          <w:p w14:paraId="48CF23F0">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违章违规</w:t>
            </w:r>
          </w:p>
        </w:tc>
        <w:tc>
          <w:tcPr>
            <w:tcW w:w="11319" w:type="dxa"/>
            <w:tcBorders>
              <w:top w:val="single" w:color="auto" w:sz="4" w:space="0"/>
              <w:left w:val="single" w:color="auto" w:sz="4" w:space="0"/>
              <w:bottom w:val="single" w:color="auto" w:sz="4" w:space="0"/>
              <w:right w:val="single" w:color="auto" w:sz="4" w:space="0"/>
            </w:tcBorders>
            <w:noWrap w:val="0"/>
            <w:vAlign w:val="center"/>
          </w:tcPr>
          <w:p w14:paraId="4CA3DAF8">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lang w:eastAsia="zh-CN"/>
              </w:rPr>
            </w:pPr>
            <w:r>
              <w:rPr>
                <w:rFonts w:hint="eastAsia" w:ascii="Times New Roman" w:hAnsi="Times New Roman" w:eastAsia="方正仿宋_GBK" w:cs="Times New Roman"/>
                <w:color w:val="000000"/>
                <w:kern w:val="0"/>
                <w:sz w:val="32"/>
                <w:szCs w:val="32"/>
                <w:highlight w:val="none"/>
                <w:lang w:val="en-US" w:eastAsia="zh-CN"/>
              </w:rPr>
              <w:t>1</w:t>
            </w:r>
            <w:r>
              <w:rPr>
                <w:rFonts w:hint="eastAsia" w:ascii="方正仿宋_GBK" w:hAnsi="方正仿宋_GBK" w:eastAsia="方正仿宋_GBK" w:cs="方正仿宋_GBK"/>
                <w:color w:val="000000"/>
                <w:kern w:val="0"/>
                <w:sz w:val="32"/>
                <w:szCs w:val="32"/>
                <w:highlight w:val="none"/>
              </w:rPr>
              <w:t>、考核周期内，执法部门查处未取得合法证件从事网约车经营活动的车辆及人员，提供服务的网约车平台，一次扣</w:t>
            </w:r>
            <w:r>
              <w:rPr>
                <w:rFonts w:hint="eastAsia" w:ascii="Times New Roman" w:hAnsi="Times New Roman" w:eastAsia="方正仿宋_GBK" w:cs="Times New Roman"/>
                <w:color w:val="000000"/>
                <w:kern w:val="0"/>
                <w:sz w:val="32"/>
                <w:szCs w:val="32"/>
                <w:highlight w:val="none"/>
                <w:lang w:val="en-US" w:eastAsia="zh-CN"/>
              </w:rPr>
              <w:t>5</w:t>
            </w:r>
            <w:r>
              <w:rPr>
                <w:rFonts w:hint="eastAsia" w:ascii="方正仿宋_GBK" w:hAnsi="方正仿宋_GBK" w:eastAsia="方正仿宋_GBK" w:cs="方正仿宋_GBK"/>
                <w:color w:val="000000"/>
                <w:kern w:val="0"/>
                <w:sz w:val="32"/>
                <w:szCs w:val="32"/>
                <w:highlight w:val="none"/>
              </w:rPr>
              <w:t>分；</w:t>
            </w:r>
            <w:r>
              <w:rPr>
                <w:rFonts w:hint="eastAsia" w:ascii="方正仿宋_GBK" w:hAnsi="方正仿宋_GBK" w:eastAsia="方正仿宋_GBK" w:cs="方正仿宋_GBK"/>
                <w:color w:val="000000"/>
                <w:kern w:val="0"/>
                <w:sz w:val="32"/>
                <w:szCs w:val="32"/>
                <w:highlight w:val="none"/>
              </w:rPr>
              <w:br w:type="textWrapping"/>
            </w:r>
            <w:r>
              <w:rPr>
                <w:rFonts w:hint="eastAsia" w:ascii="Times New Roman" w:hAnsi="Times New Roman" w:eastAsia="方正仿宋_GBK" w:cs="Times New Roman"/>
                <w:color w:val="000000"/>
                <w:kern w:val="0"/>
                <w:sz w:val="32"/>
                <w:szCs w:val="32"/>
                <w:highlight w:val="none"/>
                <w:lang w:val="en-US" w:eastAsia="zh-CN"/>
              </w:rPr>
              <w:t>2</w:t>
            </w:r>
            <w:r>
              <w:rPr>
                <w:rFonts w:hint="eastAsia" w:ascii="方正仿宋_GBK" w:hAnsi="方正仿宋_GBK" w:eastAsia="方正仿宋_GBK" w:cs="方正仿宋_GBK"/>
                <w:color w:val="000000"/>
                <w:kern w:val="0"/>
                <w:sz w:val="32"/>
                <w:szCs w:val="32"/>
                <w:highlight w:val="none"/>
              </w:rPr>
              <w:t>、线上提供服务车辆与线下实际提供服务车辆不一致的，或者线上提供服务驾驶员与线下实际提供服务驾驶员不一致的，一次扣</w:t>
            </w:r>
            <w:r>
              <w:rPr>
                <w:rFonts w:hint="eastAsia" w:ascii="Times New Roman" w:hAnsi="Times New Roman" w:eastAsia="方正仿宋_GBK" w:cs="Times New Roman"/>
                <w:color w:val="000000"/>
                <w:kern w:val="0"/>
                <w:sz w:val="32"/>
                <w:szCs w:val="32"/>
                <w:highlight w:val="none"/>
                <w:lang w:val="en-US" w:eastAsia="zh-CN"/>
              </w:rPr>
              <w:t>5</w:t>
            </w:r>
            <w:r>
              <w:rPr>
                <w:rFonts w:hint="eastAsia" w:ascii="方正仿宋_GBK" w:hAnsi="方正仿宋_GBK" w:eastAsia="方正仿宋_GBK" w:cs="方正仿宋_GBK"/>
                <w:color w:val="000000"/>
                <w:kern w:val="0"/>
                <w:sz w:val="32"/>
                <w:szCs w:val="32"/>
                <w:highlight w:val="none"/>
              </w:rPr>
              <w:t>分；</w:t>
            </w:r>
            <w:r>
              <w:rPr>
                <w:rFonts w:hint="eastAsia" w:ascii="方正仿宋_GBK" w:hAnsi="方正仿宋_GBK" w:eastAsia="方正仿宋_GBK" w:cs="方正仿宋_GBK"/>
                <w:color w:val="000000"/>
                <w:kern w:val="0"/>
                <w:sz w:val="32"/>
                <w:szCs w:val="32"/>
                <w:highlight w:val="none"/>
              </w:rPr>
              <w:br w:type="textWrapping"/>
            </w:r>
            <w:r>
              <w:rPr>
                <w:rFonts w:hint="eastAsia" w:ascii="Times New Roman" w:hAnsi="Times New Roman" w:eastAsia="方正仿宋_GBK" w:cs="Times New Roman"/>
                <w:color w:val="000000"/>
                <w:kern w:val="0"/>
                <w:sz w:val="32"/>
                <w:szCs w:val="32"/>
                <w:highlight w:val="none"/>
                <w:lang w:val="en-US" w:eastAsia="zh-CN"/>
              </w:rPr>
              <w:t>3</w:t>
            </w:r>
            <w:r>
              <w:rPr>
                <w:rFonts w:hint="eastAsia" w:ascii="方正仿宋_GBK" w:hAnsi="方正仿宋_GBK" w:eastAsia="方正仿宋_GBK" w:cs="方正仿宋_GBK"/>
                <w:color w:val="000000"/>
                <w:kern w:val="0"/>
                <w:sz w:val="32"/>
                <w:szCs w:val="32"/>
                <w:highlight w:val="none"/>
                <w:lang w:val="en-US" w:eastAsia="zh-CN"/>
              </w:rPr>
              <w:t>、</w:t>
            </w:r>
            <w:r>
              <w:rPr>
                <w:rFonts w:hint="eastAsia" w:ascii="方正仿宋_GBK" w:hAnsi="方正仿宋_GBK" w:eastAsia="方正仿宋_GBK" w:cs="方正仿宋_GBK"/>
                <w:kern w:val="0"/>
                <w:sz w:val="32"/>
                <w:szCs w:val="32"/>
                <w:highlight w:val="none"/>
              </w:rPr>
              <w:t>考核周期内，已取得合法证件的车辆及人员发生违反道路运输行业法律法规行为的，每增加</w:t>
            </w:r>
            <w:r>
              <w:rPr>
                <w:rFonts w:hint="eastAsia" w:ascii="Times New Roman" w:hAnsi="Times New Roman" w:eastAsia="方正仿宋_GBK" w:cs="Times New Roman"/>
                <w:color w:val="000000"/>
                <w:kern w:val="0"/>
                <w:sz w:val="32"/>
                <w:szCs w:val="32"/>
                <w:highlight w:val="none"/>
                <w:lang w:val="en-US" w:eastAsia="zh-CN"/>
              </w:rPr>
              <w:t>0.1</w:t>
            </w:r>
            <w:r>
              <w:rPr>
                <w:rFonts w:hint="eastAsia" w:ascii="方正仿宋_GBK" w:hAnsi="方正仿宋_GBK" w:eastAsia="方正仿宋_GBK" w:cs="方正仿宋_GBK"/>
                <w:kern w:val="0"/>
                <w:sz w:val="32"/>
                <w:szCs w:val="32"/>
                <w:highlight w:val="none"/>
              </w:rPr>
              <w:t>次/车扣</w:t>
            </w:r>
            <w:r>
              <w:rPr>
                <w:rFonts w:hint="eastAsia" w:ascii="Times New Roman" w:hAnsi="Times New Roman" w:eastAsia="方正仿宋_GBK" w:cs="Times New Roman"/>
                <w:color w:val="000000"/>
                <w:kern w:val="0"/>
                <w:sz w:val="32"/>
                <w:szCs w:val="32"/>
                <w:highlight w:val="none"/>
                <w:lang w:val="en-US" w:eastAsia="zh-CN"/>
              </w:rPr>
              <w:t>0.5分</w:t>
            </w:r>
            <w:r>
              <w:rPr>
                <w:rFonts w:hint="eastAsia" w:ascii="方正仿宋_GBK" w:hAnsi="方正仿宋_GBK" w:eastAsia="方正仿宋_GBK" w:cs="方正仿宋_GBK"/>
                <w:kern w:val="0"/>
                <w:sz w:val="32"/>
                <w:szCs w:val="32"/>
                <w:highlight w:val="none"/>
              </w:rPr>
              <w:t>，扣完为止</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rPr>
              <w:br w:type="textWrapping"/>
            </w:r>
            <w:r>
              <w:rPr>
                <w:rFonts w:hint="eastAsia" w:ascii="Times New Roman" w:hAnsi="Times New Roman" w:eastAsia="方正仿宋_GBK" w:cs="Times New Roman"/>
                <w:color w:val="000000"/>
                <w:kern w:val="0"/>
                <w:sz w:val="32"/>
                <w:szCs w:val="32"/>
                <w:highlight w:val="none"/>
                <w:lang w:val="en-US" w:eastAsia="zh-CN"/>
              </w:rPr>
              <w:t>4</w:t>
            </w:r>
            <w:r>
              <w:rPr>
                <w:rFonts w:hint="eastAsia" w:ascii="方正仿宋_GBK" w:hAnsi="方正仿宋_GBK" w:eastAsia="方正仿宋_GBK" w:cs="方正仿宋_GBK"/>
                <w:color w:val="000000"/>
                <w:kern w:val="0"/>
                <w:sz w:val="32"/>
                <w:szCs w:val="32"/>
                <w:highlight w:val="none"/>
                <w:lang w:val="en-US" w:eastAsia="zh-CN"/>
              </w:rPr>
              <w:t>、</w:t>
            </w:r>
            <w:r>
              <w:rPr>
                <w:rFonts w:hint="eastAsia" w:ascii="方正仿宋_GBK" w:hAnsi="方正仿宋_GBK" w:eastAsia="方正仿宋_GBK" w:cs="方正仿宋_GBK"/>
                <w:color w:val="000000"/>
                <w:kern w:val="0"/>
                <w:sz w:val="32"/>
                <w:szCs w:val="32"/>
                <w:highlight w:val="none"/>
              </w:rPr>
              <w:t>不配合行业管理部门调查的一次扣5</w:t>
            </w:r>
            <w:r>
              <w:rPr>
                <w:rFonts w:hint="eastAsia" w:ascii="方正仿宋_GBK" w:hAnsi="方正仿宋_GBK" w:eastAsia="方正仿宋_GBK" w:cs="方正仿宋_GBK"/>
                <w:kern w:val="0"/>
                <w:sz w:val="32"/>
                <w:szCs w:val="32"/>
                <w:highlight w:val="none"/>
              </w:rPr>
              <w:t>分</w:t>
            </w:r>
            <w:r>
              <w:rPr>
                <w:rFonts w:hint="eastAsia" w:ascii="方正仿宋_GBK" w:hAnsi="方正仿宋_GBK" w:eastAsia="方正仿宋_GBK" w:cs="方正仿宋_GBK"/>
                <w:color w:val="000000"/>
                <w:kern w:val="0"/>
                <w:sz w:val="32"/>
                <w:szCs w:val="32"/>
                <w:highlight w:val="none"/>
              </w:rPr>
              <w:t>，</w:t>
            </w:r>
            <w:r>
              <w:rPr>
                <w:rFonts w:hint="eastAsia" w:ascii="Times New Roman" w:hAnsi="Times New Roman" w:eastAsia="方正仿宋_GBK" w:cs="Times New Roman"/>
                <w:color w:val="000000"/>
                <w:kern w:val="0"/>
                <w:sz w:val="32"/>
                <w:szCs w:val="32"/>
                <w:highlight w:val="none"/>
                <w:lang w:val="en-US" w:eastAsia="zh-CN"/>
              </w:rPr>
              <w:t>2</w:t>
            </w:r>
            <w:r>
              <w:rPr>
                <w:rFonts w:hint="eastAsia" w:ascii="方正仿宋_GBK" w:hAnsi="方正仿宋_GBK" w:eastAsia="方正仿宋_GBK" w:cs="方正仿宋_GBK"/>
                <w:color w:val="000000"/>
                <w:kern w:val="0"/>
                <w:sz w:val="32"/>
                <w:szCs w:val="32"/>
                <w:highlight w:val="none"/>
              </w:rPr>
              <w:t>次以上一票否决</w:t>
            </w:r>
            <w:r>
              <w:rPr>
                <w:rFonts w:hint="eastAsia" w:ascii="方正仿宋_GBK" w:hAnsi="方正仿宋_GBK" w:eastAsia="方正仿宋_GBK" w:cs="方正仿宋_GBK"/>
                <w:color w:val="000000"/>
                <w:kern w:val="0"/>
                <w:sz w:val="32"/>
                <w:szCs w:val="32"/>
                <w:highlight w:val="none"/>
                <w:lang w:eastAsia="zh-CN"/>
              </w:rPr>
              <w:t>。</w:t>
            </w:r>
          </w:p>
        </w:tc>
        <w:tc>
          <w:tcPr>
            <w:tcW w:w="892" w:type="dxa"/>
            <w:tcBorders>
              <w:top w:val="single" w:color="auto" w:sz="4" w:space="0"/>
              <w:left w:val="single" w:color="auto" w:sz="4" w:space="0"/>
              <w:bottom w:val="single" w:color="auto" w:sz="4" w:space="0"/>
              <w:right w:val="single" w:color="auto" w:sz="4" w:space="0"/>
            </w:tcBorders>
            <w:noWrap/>
            <w:vAlign w:val="center"/>
          </w:tcPr>
          <w:p w14:paraId="5ABF8600">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lang w:val="en-US" w:eastAsia="zh-CN"/>
              </w:rPr>
            </w:pPr>
            <w:r>
              <w:rPr>
                <w:rFonts w:hint="eastAsia" w:ascii="Times New Roman" w:hAnsi="Times New Roman" w:eastAsia="方正仿宋_GBK" w:cs="Times New Roman"/>
                <w:color w:val="000000"/>
                <w:kern w:val="0"/>
                <w:sz w:val="32"/>
                <w:szCs w:val="32"/>
                <w:highlight w:val="none"/>
                <w:lang w:val="en-US" w:eastAsia="zh-CN"/>
              </w:rPr>
              <w:t>15</w:t>
            </w:r>
          </w:p>
        </w:tc>
      </w:tr>
      <w:tr w14:paraId="71A6E765">
        <w:tblPrEx>
          <w:tblCellMar>
            <w:top w:w="0" w:type="dxa"/>
            <w:left w:w="108" w:type="dxa"/>
            <w:bottom w:w="0" w:type="dxa"/>
            <w:right w:w="108" w:type="dxa"/>
          </w:tblCellMar>
        </w:tblPrEx>
        <w:trPr>
          <w:trHeight w:val="447" w:hRule="atLeast"/>
          <w:jc w:val="center"/>
        </w:trPr>
        <w:tc>
          <w:tcPr>
            <w:tcW w:w="1655" w:type="dxa"/>
            <w:vMerge w:val="restart"/>
            <w:tcBorders>
              <w:top w:val="single" w:color="auto" w:sz="4" w:space="0"/>
              <w:left w:val="single" w:color="auto" w:sz="4" w:space="0"/>
              <w:right w:val="single" w:color="auto" w:sz="4" w:space="0"/>
            </w:tcBorders>
            <w:noWrap w:val="0"/>
            <w:vAlign w:val="center"/>
          </w:tcPr>
          <w:p w14:paraId="49FAD630">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加分项</w:t>
            </w:r>
            <w:r>
              <w:rPr>
                <w:rFonts w:hint="eastAsia" w:ascii="方正仿宋_GBK" w:hAnsi="方正仿宋_GBK" w:eastAsia="方正仿宋_GBK" w:cs="方正仿宋_GBK"/>
                <w:color w:val="000000"/>
                <w:kern w:val="0"/>
                <w:sz w:val="32"/>
                <w:szCs w:val="32"/>
                <w:highlight w:val="none"/>
              </w:rPr>
              <w:br w:type="textWrapping"/>
            </w:r>
            <w:r>
              <w:rPr>
                <w:rFonts w:hint="eastAsia" w:ascii="方正仿宋_GBK" w:hAnsi="方正仿宋_GBK" w:eastAsia="方正仿宋_GBK" w:cs="方正仿宋_GBK"/>
                <w:color w:val="000000"/>
                <w:kern w:val="0"/>
                <w:sz w:val="32"/>
                <w:szCs w:val="32"/>
                <w:highlight w:val="none"/>
              </w:rPr>
              <w:t>（</w:t>
            </w:r>
            <w:r>
              <w:rPr>
                <w:rFonts w:hint="eastAsia" w:ascii="Times New Roman" w:hAnsi="Times New Roman" w:eastAsia="方正仿宋_GBK" w:cs="Times New Roman"/>
                <w:color w:val="000000"/>
                <w:kern w:val="0"/>
                <w:sz w:val="32"/>
                <w:szCs w:val="32"/>
                <w:highlight w:val="none"/>
                <w:lang w:val="en-US" w:eastAsia="zh-CN"/>
              </w:rPr>
              <w:t>10</w:t>
            </w:r>
            <w:r>
              <w:rPr>
                <w:rFonts w:hint="eastAsia" w:ascii="方正仿宋_GBK" w:hAnsi="方正仿宋_GBK" w:eastAsia="方正仿宋_GBK" w:cs="方正仿宋_GBK"/>
                <w:color w:val="000000"/>
                <w:kern w:val="0"/>
                <w:sz w:val="32"/>
                <w:szCs w:val="32"/>
                <w:highlight w:val="none"/>
              </w:rPr>
              <w:t>分）</w:t>
            </w:r>
          </w:p>
        </w:tc>
        <w:tc>
          <w:tcPr>
            <w:tcW w:w="1174" w:type="dxa"/>
            <w:tcBorders>
              <w:top w:val="single" w:color="auto" w:sz="4" w:space="0"/>
              <w:left w:val="single" w:color="auto" w:sz="4" w:space="0"/>
              <w:bottom w:val="single" w:color="auto" w:sz="4" w:space="0"/>
              <w:right w:val="single" w:color="auto" w:sz="4" w:space="0"/>
            </w:tcBorders>
            <w:noWrap/>
            <w:vAlign w:val="center"/>
          </w:tcPr>
          <w:p w14:paraId="682A4F5F">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荣誉表彰</w:t>
            </w:r>
          </w:p>
        </w:tc>
        <w:tc>
          <w:tcPr>
            <w:tcW w:w="11319" w:type="dxa"/>
            <w:tcBorders>
              <w:top w:val="single" w:color="auto" w:sz="4" w:space="0"/>
              <w:left w:val="single" w:color="auto" w:sz="4" w:space="0"/>
              <w:bottom w:val="single" w:color="auto" w:sz="4" w:space="0"/>
              <w:right w:val="single" w:color="auto" w:sz="4" w:space="0"/>
            </w:tcBorders>
            <w:noWrap w:val="0"/>
            <w:vAlign w:val="center"/>
          </w:tcPr>
          <w:p w14:paraId="18949284">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企业获得省、部级及以上荣誉称号的，加</w:t>
            </w:r>
            <w:r>
              <w:rPr>
                <w:rFonts w:hint="eastAsia" w:ascii="Times New Roman" w:hAnsi="Times New Roman" w:eastAsia="方正仿宋_GBK" w:cs="Times New Roman"/>
                <w:color w:val="000000"/>
                <w:kern w:val="0"/>
                <w:sz w:val="32"/>
                <w:szCs w:val="32"/>
                <w:highlight w:val="none"/>
                <w:lang w:val="en-US" w:eastAsia="zh-CN"/>
              </w:rPr>
              <w:t>2</w:t>
            </w:r>
            <w:r>
              <w:rPr>
                <w:rFonts w:hint="eastAsia" w:ascii="方正仿宋_GBK" w:hAnsi="方正仿宋_GBK" w:eastAsia="方正仿宋_GBK" w:cs="方正仿宋_GBK"/>
                <w:color w:val="000000"/>
                <w:kern w:val="0"/>
                <w:sz w:val="32"/>
                <w:szCs w:val="32"/>
                <w:highlight w:val="none"/>
              </w:rPr>
              <w:t>分；获得市级荣誉称号的，加</w:t>
            </w:r>
            <w:r>
              <w:rPr>
                <w:rFonts w:hint="eastAsia" w:ascii="Times New Roman" w:hAnsi="Times New Roman" w:eastAsia="方正仿宋_GBK" w:cs="Times New Roman"/>
                <w:color w:val="000000"/>
                <w:kern w:val="0"/>
                <w:sz w:val="32"/>
                <w:szCs w:val="32"/>
                <w:highlight w:val="none"/>
                <w:lang w:val="en-US" w:eastAsia="zh-CN"/>
              </w:rPr>
              <w:t>1</w:t>
            </w:r>
            <w:r>
              <w:rPr>
                <w:rFonts w:hint="eastAsia" w:ascii="方正仿宋_GBK" w:hAnsi="方正仿宋_GBK" w:eastAsia="方正仿宋_GBK" w:cs="方正仿宋_GBK"/>
                <w:color w:val="000000"/>
                <w:kern w:val="0"/>
                <w:sz w:val="32"/>
                <w:szCs w:val="32"/>
                <w:highlight w:val="none"/>
              </w:rPr>
              <w:t>分；加到</w:t>
            </w:r>
            <w:r>
              <w:rPr>
                <w:rFonts w:hint="eastAsia" w:ascii="Times New Roman" w:hAnsi="Times New Roman" w:eastAsia="方正仿宋_GBK" w:cs="Times New Roman"/>
                <w:color w:val="000000"/>
                <w:kern w:val="0"/>
                <w:sz w:val="32"/>
                <w:szCs w:val="32"/>
                <w:highlight w:val="none"/>
                <w:lang w:val="en-US" w:eastAsia="zh-CN"/>
              </w:rPr>
              <w:t>5</w:t>
            </w:r>
            <w:r>
              <w:rPr>
                <w:rFonts w:hint="eastAsia" w:ascii="方正仿宋_GBK" w:hAnsi="方正仿宋_GBK" w:eastAsia="方正仿宋_GBK" w:cs="方正仿宋_GBK"/>
                <w:color w:val="000000"/>
                <w:kern w:val="0"/>
                <w:sz w:val="32"/>
                <w:szCs w:val="32"/>
                <w:highlight w:val="none"/>
              </w:rPr>
              <w:t>分为止。</w:t>
            </w:r>
          </w:p>
        </w:tc>
        <w:tc>
          <w:tcPr>
            <w:tcW w:w="892" w:type="dxa"/>
            <w:tcBorders>
              <w:top w:val="single" w:color="auto" w:sz="4" w:space="0"/>
              <w:left w:val="single" w:color="auto" w:sz="4" w:space="0"/>
              <w:bottom w:val="single" w:color="auto" w:sz="4" w:space="0"/>
              <w:right w:val="single" w:color="auto" w:sz="4" w:space="0"/>
            </w:tcBorders>
            <w:noWrap/>
            <w:vAlign w:val="center"/>
          </w:tcPr>
          <w:p w14:paraId="36C6C98F">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Times New Roman" w:hAnsi="Times New Roman" w:eastAsia="方正仿宋_GBK" w:cs="Times New Roman"/>
                <w:color w:val="000000"/>
                <w:kern w:val="0"/>
                <w:sz w:val="32"/>
                <w:szCs w:val="32"/>
                <w:highlight w:val="none"/>
                <w:lang w:val="en-US" w:eastAsia="zh-CN"/>
              </w:rPr>
              <w:t>5</w:t>
            </w:r>
          </w:p>
        </w:tc>
      </w:tr>
      <w:tr w14:paraId="7F83E4D1">
        <w:tblPrEx>
          <w:tblCellMar>
            <w:top w:w="0" w:type="dxa"/>
            <w:left w:w="108" w:type="dxa"/>
            <w:bottom w:w="0" w:type="dxa"/>
            <w:right w:w="108" w:type="dxa"/>
          </w:tblCellMar>
        </w:tblPrEx>
        <w:trPr>
          <w:trHeight w:val="580" w:hRule="atLeast"/>
          <w:jc w:val="center"/>
        </w:trPr>
        <w:tc>
          <w:tcPr>
            <w:tcW w:w="1655" w:type="dxa"/>
            <w:vMerge w:val="continue"/>
            <w:tcBorders>
              <w:left w:val="single" w:color="auto" w:sz="4" w:space="0"/>
              <w:right w:val="single" w:color="auto" w:sz="4" w:space="0"/>
            </w:tcBorders>
            <w:noWrap w:val="0"/>
            <w:vAlign w:val="center"/>
          </w:tcPr>
          <w:p w14:paraId="346B278E">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rPr>
            </w:pPr>
          </w:p>
        </w:tc>
        <w:tc>
          <w:tcPr>
            <w:tcW w:w="1174" w:type="dxa"/>
            <w:tcBorders>
              <w:top w:val="single" w:color="auto" w:sz="4" w:space="0"/>
              <w:left w:val="single" w:color="auto" w:sz="4" w:space="0"/>
              <w:bottom w:val="single" w:color="auto" w:sz="4" w:space="0"/>
              <w:right w:val="single" w:color="auto" w:sz="4" w:space="0"/>
            </w:tcBorders>
            <w:noWrap/>
            <w:vAlign w:val="center"/>
          </w:tcPr>
          <w:p w14:paraId="0B53CBA7">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社会公益</w:t>
            </w:r>
          </w:p>
        </w:tc>
        <w:tc>
          <w:tcPr>
            <w:tcW w:w="11319" w:type="dxa"/>
            <w:tcBorders>
              <w:top w:val="single" w:color="auto" w:sz="4" w:space="0"/>
              <w:left w:val="single" w:color="auto" w:sz="4" w:space="0"/>
              <w:bottom w:val="single" w:color="auto" w:sz="4" w:space="0"/>
              <w:right w:val="single" w:color="auto" w:sz="4" w:space="0"/>
            </w:tcBorders>
            <w:noWrap w:val="0"/>
            <w:vAlign w:val="center"/>
          </w:tcPr>
          <w:p w14:paraId="0800EF38">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企业按规定完成政府指令性任务，或积极组织参加抢险救灾、赈灾、救死扶伤、优质服务等具有较大社会影响的公益活动，每参加一次加</w:t>
            </w:r>
            <w:r>
              <w:rPr>
                <w:rFonts w:hint="eastAsia" w:ascii="Times New Roman" w:hAnsi="Times New Roman" w:eastAsia="方正仿宋_GBK" w:cs="Times New Roman"/>
                <w:color w:val="000000"/>
                <w:kern w:val="0"/>
                <w:sz w:val="32"/>
                <w:szCs w:val="32"/>
                <w:highlight w:val="none"/>
                <w:lang w:val="en-US" w:eastAsia="zh-CN"/>
              </w:rPr>
              <w:t>1</w:t>
            </w:r>
            <w:r>
              <w:rPr>
                <w:rFonts w:hint="eastAsia" w:ascii="方正仿宋_GBK" w:hAnsi="方正仿宋_GBK" w:eastAsia="方正仿宋_GBK" w:cs="方正仿宋_GBK"/>
                <w:color w:val="000000"/>
                <w:kern w:val="0"/>
                <w:sz w:val="32"/>
                <w:szCs w:val="32"/>
                <w:highlight w:val="none"/>
              </w:rPr>
              <w:t>分；加到</w:t>
            </w:r>
            <w:r>
              <w:rPr>
                <w:rFonts w:hint="eastAsia" w:ascii="Times New Roman" w:hAnsi="Times New Roman" w:eastAsia="方正仿宋_GBK" w:cs="Times New Roman"/>
                <w:color w:val="000000"/>
                <w:kern w:val="0"/>
                <w:sz w:val="32"/>
                <w:szCs w:val="32"/>
                <w:highlight w:val="none"/>
                <w:lang w:val="en-US" w:eastAsia="zh-CN"/>
              </w:rPr>
              <w:t>2</w:t>
            </w:r>
            <w:r>
              <w:rPr>
                <w:rFonts w:hint="eastAsia" w:ascii="方正仿宋_GBK" w:hAnsi="方正仿宋_GBK" w:eastAsia="方正仿宋_GBK" w:cs="方正仿宋_GBK"/>
                <w:color w:val="000000"/>
                <w:kern w:val="0"/>
                <w:sz w:val="32"/>
                <w:szCs w:val="32"/>
                <w:highlight w:val="none"/>
              </w:rPr>
              <w:t>分为止。</w:t>
            </w:r>
          </w:p>
        </w:tc>
        <w:tc>
          <w:tcPr>
            <w:tcW w:w="892" w:type="dxa"/>
            <w:tcBorders>
              <w:top w:val="single" w:color="auto" w:sz="4" w:space="0"/>
              <w:left w:val="single" w:color="auto" w:sz="4" w:space="0"/>
              <w:bottom w:val="single" w:color="auto" w:sz="4" w:space="0"/>
              <w:right w:val="single" w:color="auto" w:sz="4" w:space="0"/>
            </w:tcBorders>
            <w:noWrap/>
            <w:vAlign w:val="center"/>
          </w:tcPr>
          <w:p w14:paraId="5B69878E">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lang w:eastAsia="zh-CN"/>
              </w:rPr>
            </w:pPr>
            <w:r>
              <w:rPr>
                <w:rFonts w:hint="eastAsia" w:ascii="Times New Roman" w:hAnsi="Times New Roman" w:eastAsia="方正仿宋_GBK" w:cs="Times New Roman"/>
                <w:color w:val="000000"/>
                <w:kern w:val="0"/>
                <w:sz w:val="32"/>
                <w:szCs w:val="32"/>
                <w:highlight w:val="none"/>
                <w:lang w:val="en-US" w:eastAsia="zh-CN"/>
              </w:rPr>
              <w:t>2</w:t>
            </w:r>
          </w:p>
        </w:tc>
      </w:tr>
      <w:tr w14:paraId="07B035C2">
        <w:tblPrEx>
          <w:tblCellMar>
            <w:top w:w="0" w:type="dxa"/>
            <w:left w:w="108" w:type="dxa"/>
            <w:bottom w:w="0" w:type="dxa"/>
            <w:right w:w="108" w:type="dxa"/>
          </w:tblCellMar>
        </w:tblPrEx>
        <w:trPr>
          <w:trHeight w:val="329" w:hRule="atLeast"/>
          <w:jc w:val="center"/>
        </w:trPr>
        <w:tc>
          <w:tcPr>
            <w:tcW w:w="1655" w:type="dxa"/>
            <w:vMerge w:val="continue"/>
            <w:tcBorders>
              <w:left w:val="single" w:color="auto" w:sz="4" w:space="0"/>
              <w:right w:val="single" w:color="auto" w:sz="4" w:space="0"/>
            </w:tcBorders>
            <w:noWrap w:val="0"/>
            <w:vAlign w:val="center"/>
          </w:tcPr>
          <w:p w14:paraId="788D2F7A">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rPr>
            </w:pPr>
          </w:p>
        </w:tc>
        <w:tc>
          <w:tcPr>
            <w:tcW w:w="1174" w:type="dxa"/>
            <w:tcBorders>
              <w:top w:val="single" w:color="auto" w:sz="4" w:space="0"/>
              <w:left w:val="single" w:color="auto" w:sz="4" w:space="0"/>
              <w:bottom w:val="single" w:color="auto" w:sz="4" w:space="0"/>
              <w:right w:val="single" w:color="auto" w:sz="4" w:space="0"/>
            </w:tcBorders>
            <w:noWrap/>
            <w:vAlign w:val="center"/>
          </w:tcPr>
          <w:p w14:paraId="4E119EBF">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车载影像</w:t>
            </w:r>
          </w:p>
        </w:tc>
        <w:tc>
          <w:tcPr>
            <w:tcW w:w="11319" w:type="dxa"/>
            <w:tcBorders>
              <w:top w:val="single" w:color="auto" w:sz="4" w:space="0"/>
              <w:left w:val="single" w:color="auto" w:sz="4" w:space="0"/>
              <w:bottom w:val="single" w:color="auto" w:sz="4" w:space="0"/>
              <w:right w:val="single" w:color="auto" w:sz="4" w:space="0"/>
            </w:tcBorders>
            <w:noWrap w:val="0"/>
            <w:vAlign w:val="center"/>
          </w:tcPr>
          <w:p w14:paraId="202EFE17">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考核周期内新增车辆安装具有车内影像摄录功能装置</w:t>
            </w:r>
            <w:r>
              <w:rPr>
                <w:rFonts w:hint="eastAsia" w:ascii="方正仿宋_GBK" w:hAnsi="方正仿宋_GBK" w:eastAsia="方正仿宋_GBK" w:cs="方正仿宋_GBK"/>
                <w:color w:val="000000"/>
                <w:kern w:val="0"/>
                <w:sz w:val="32"/>
                <w:szCs w:val="32"/>
                <w:highlight w:val="none"/>
                <w:lang w:val="en-US" w:eastAsia="zh-CN"/>
              </w:rPr>
              <w:t>达</w:t>
            </w:r>
            <w:r>
              <w:rPr>
                <w:rFonts w:hint="eastAsia" w:ascii="Times New Roman" w:hAnsi="Times New Roman" w:eastAsia="方正仿宋_GBK" w:cs="Times New Roman"/>
                <w:color w:val="000000"/>
                <w:kern w:val="0"/>
                <w:sz w:val="32"/>
                <w:szCs w:val="32"/>
                <w:highlight w:val="none"/>
                <w:lang w:val="en-US" w:eastAsia="zh-CN"/>
              </w:rPr>
              <w:t>100%</w:t>
            </w:r>
            <w:r>
              <w:rPr>
                <w:rFonts w:hint="eastAsia" w:ascii="方正仿宋_GBK" w:hAnsi="方正仿宋_GBK" w:eastAsia="方正仿宋_GBK" w:cs="方正仿宋_GBK"/>
                <w:color w:val="000000"/>
                <w:kern w:val="0"/>
                <w:sz w:val="32"/>
                <w:szCs w:val="32"/>
                <w:highlight w:val="none"/>
                <w:lang w:val="en-US" w:eastAsia="zh-CN"/>
              </w:rPr>
              <w:t>且正常使用</w:t>
            </w:r>
            <w:r>
              <w:rPr>
                <w:rFonts w:hint="eastAsia" w:ascii="方正仿宋_GBK" w:hAnsi="方正仿宋_GBK" w:eastAsia="方正仿宋_GBK" w:cs="方正仿宋_GBK"/>
                <w:color w:val="000000"/>
                <w:kern w:val="0"/>
                <w:sz w:val="32"/>
                <w:szCs w:val="32"/>
                <w:highlight w:val="none"/>
              </w:rPr>
              <w:t>的，加</w:t>
            </w:r>
            <w:r>
              <w:rPr>
                <w:rFonts w:hint="eastAsia" w:ascii="Times New Roman" w:hAnsi="Times New Roman" w:eastAsia="方正仿宋_GBK" w:cs="Times New Roman"/>
                <w:color w:val="000000"/>
                <w:kern w:val="0"/>
                <w:sz w:val="32"/>
                <w:szCs w:val="32"/>
                <w:highlight w:val="none"/>
                <w:lang w:val="en-US" w:eastAsia="zh-CN"/>
              </w:rPr>
              <w:t>1</w:t>
            </w:r>
            <w:r>
              <w:rPr>
                <w:rFonts w:hint="eastAsia" w:ascii="方正仿宋_GBK" w:hAnsi="方正仿宋_GBK" w:eastAsia="方正仿宋_GBK" w:cs="方正仿宋_GBK"/>
                <w:color w:val="000000"/>
                <w:kern w:val="0"/>
                <w:sz w:val="32"/>
                <w:szCs w:val="32"/>
                <w:highlight w:val="none"/>
              </w:rPr>
              <w:t>分。</w:t>
            </w:r>
          </w:p>
        </w:tc>
        <w:tc>
          <w:tcPr>
            <w:tcW w:w="892" w:type="dxa"/>
            <w:tcBorders>
              <w:top w:val="single" w:color="auto" w:sz="4" w:space="0"/>
              <w:left w:val="single" w:color="auto" w:sz="4" w:space="0"/>
              <w:bottom w:val="single" w:color="auto" w:sz="4" w:space="0"/>
              <w:right w:val="single" w:color="auto" w:sz="4" w:space="0"/>
            </w:tcBorders>
            <w:noWrap/>
            <w:vAlign w:val="center"/>
          </w:tcPr>
          <w:p w14:paraId="7AC98FBB">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Times New Roman" w:hAnsi="Times New Roman" w:eastAsia="方正仿宋_GBK" w:cs="Times New Roman"/>
                <w:color w:val="000000"/>
                <w:kern w:val="0"/>
                <w:sz w:val="32"/>
                <w:szCs w:val="32"/>
                <w:highlight w:val="none"/>
                <w:lang w:val="en-US" w:eastAsia="zh-CN"/>
              </w:rPr>
              <w:t>1</w:t>
            </w:r>
          </w:p>
        </w:tc>
      </w:tr>
      <w:tr w14:paraId="12F8D4D5">
        <w:tblPrEx>
          <w:tblCellMar>
            <w:top w:w="0" w:type="dxa"/>
            <w:left w:w="108" w:type="dxa"/>
            <w:bottom w:w="0" w:type="dxa"/>
            <w:right w:w="108" w:type="dxa"/>
          </w:tblCellMar>
        </w:tblPrEx>
        <w:trPr>
          <w:trHeight w:val="477" w:hRule="atLeast"/>
          <w:jc w:val="center"/>
        </w:trPr>
        <w:tc>
          <w:tcPr>
            <w:tcW w:w="1655" w:type="dxa"/>
            <w:vMerge w:val="continue"/>
            <w:tcBorders>
              <w:left w:val="single" w:color="auto" w:sz="4" w:space="0"/>
              <w:right w:val="single" w:color="auto" w:sz="4" w:space="0"/>
            </w:tcBorders>
            <w:noWrap w:val="0"/>
            <w:vAlign w:val="center"/>
          </w:tcPr>
          <w:p w14:paraId="2B5EF338">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F750C5F">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新能源车辆推广</w:t>
            </w:r>
          </w:p>
        </w:tc>
        <w:tc>
          <w:tcPr>
            <w:tcW w:w="11319" w:type="dxa"/>
            <w:tcBorders>
              <w:top w:val="single" w:color="auto" w:sz="4" w:space="0"/>
              <w:left w:val="single" w:color="auto" w:sz="4" w:space="0"/>
              <w:bottom w:val="single" w:color="auto" w:sz="4" w:space="0"/>
              <w:right w:val="single" w:color="auto" w:sz="4" w:space="0"/>
            </w:tcBorders>
            <w:noWrap w:val="0"/>
            <w:vAlign w:val="center"/>
          </w:tcPr>
          <w:p w14:paraId="7A37F3D9">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lang w:eastAsia="zh-CN"/>
              </w:rPr>
            </w:pPr>
            <w:r>
              <w:rPr>
                <w:rFonts w:hint="eastAsia" w:ascii="方正仿宋_GBK" w:hAnsi="方正仿宋_GBK" w:eastAsia="方正仿宋_GBK" w:cs="方正仿宋_GBK"/>
                <w:color w:val="000000"/>
                <w:kern w:val="0"/>
                <w:sz w:val="32"/>
                <w:szCs w:val="32"/>
                <w:highlight w:val="none"/>
              </w:rPr>
              <w:t>考核周期内新增新能源网约车比例达到</w:t>
            </w:r>
            <w:r>
              <w:rPr>
                <w:rFonts w:hint="eastAsia" w:ascii="Times New Roman" w:hAnsi="Times New Roman" w:eastAsia="方正仿宋_GBK" w:cs="Times New Roman"/>
                <w:color w:val="000000"/>
                <w:kern w:val="0"/>
                <w:sz w:val="32"/>
                <w:szCs w:val="32"/>
                <w:highlight w:val="none"/>
                <w:lang w:val="en-US" w:eastAsia="zh-CN"/>
              </w:rPr>
              <w:t>100%</w:t>
            </w:r>
            <w:r>
              <w:rPr>
                <w:rFonts w:hint="eastAsia" w:ascii="方正仿宋_GBK" w:hAnsi="方正仿宋_GBK" w:eastAsia="方正仿宋_GBK" w:cs="方正仿宋_GBK"/>
                <w:color w:val="000000"/>
                <w:kern w:val="0"/>
                <w:sz w:val="32"/>
                <w:szCs w:val="32"/>
                <w:highlight w:val="none"/>
              </w:rPr>
              <w:t>，加</w:t>
            </w:r>
            <w:r>
              <w:rPr>
                <w:rFonts w:hint="eastAsia" w:ascii="Times New Roman" w:hAnsi="Times New Roman" w:eastAsia="方正仿宋_GBK" w:cs="Times New Roman"/>
                <w:color w:val="000000"/>
                <w:kern w:val="0"/>
                <w:sz w:val="32"/>
                <w:szCs w:val="32"/>
                <w:highlight w:val="none"/>
                <w:lang w:val="en-US" w:eastAsia="zh-CN"/>
              </w:rPr>
              <w:t>1</w:t>
            </w:r>
            <w:r>
              <w:rPr>
                <w:rFonts w:hint="eastAsia" w:ascii="方正仿宋_GBK" w:hAnsi="方正仿宋_GBK" w:eastAsia="方正仿宋_GBK" w:cs="方正仿宋_GBK"/>
                <w:color w:val="000000"/>
                <w:kern w:val="0"/>
                <w:sz w:val="32"/>
                <w:szCs w:val="32"/>
                <w:highlight w:val="none"/>
              </w:rPr>
              <w:t>分</w:t>
            </w:r>
            <w:r>
              <w:rPr>
                <w:rFonts w:hint="eastAsia" w:ascii="方正仿宋_GBK" w:hAnsi="方正仿宋_GBK" w:eastAsia="方正仿宋_GBK" w:cs="方正仿宋_GBK"/>
                <w:color w:val="000000"/>
                <w:kern w:val="0"/>
                <w:sz w:val="32"/>
                <w:szCs w:val="32"/>
                <w:highlight w:val="none"/>
                <w:lang w:eastAsia="zh-CN"/>
              </w:rPr>
              <w:t>。</w:t>
            </w:r>
          </w:p>
        </w:tc>
        <w:tc>
          <w:tcPr>
            <w:tcW w:w="892" w:type="dxa"/>
            <w:tcBorders>
              <w:top w:val="single" w:color="auto" w:sz="4" w:space="0"/>
              <w:left w:val="single" w:color="auto" w:sz="4" w:space="0"/>
              <w:bottom w:val="single" w:color="auto" w:sz="4" w:space="0"/>
              <w:right w:val="single" w:color="auto" w:sz="4" w:space="0"/>
            </w:tcBorders>
            <w:noWrap/>
            <w:vAlign w:val="center"/>
          </w:tcPr>
          <w:p w14:paraId="4061F0B2">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Times New Roman" w:hAnsi="Times New Roman" w:eastAsia="方正仿宋_GBK" w:cs="Times New Roman"/>
                <w:color w:val="000000"/>
                <w:kern w:val="0"/>
                <w:sz w:val="32"/>
                <w:szCs w:val="32"/>
                <w:highlight w:val="none"/>
                <w:lang w:val="en-US" w:eastAsia="zh-CN"/>
              </w:rPr>
              <w:t>1</w:t>
            </w:r>
          </w:p>
        </w:tc>
      </w:tr>
      <w:tr w14:paraId="1A41D7F9">
        <w:tblPrEx>
          <w:tblCellMar>
            <w:top w:w="0" w:type="dxa"/>
            <w:left w:w="108" w:type="dxa"/>
            <w:bottom w:w="0" w:type="dxa"/>
            <w:right w:w="108" w:type="dxa"/>
          </w:tblCellMar>
        </w:tblPrEx>
        <w:trPr>
          <w:trHeight w:val="465" w:hRule="atLeast"/>
          <w:jc w:val="center"/>
        </w:trPr>
        <w:tc>
          <w:tcPr>
            <w:tcW w:w="1655" w:type="dxa"/>
            <w:vMerge w:val="continue"/>
            <w:tcBorders>
              <w:left w:val="single" w:color="auto" w:sz="4" w:space="0"/>
              <w:bottom w:val="single" w:color="auto" w:sz="4" w:space="0"/>
              <w:right w:val="single" w:color="auto" w:sz="4" w:space="0"/>
            </w:tcBorders>
            <w:noWrap w:val="0"/>
            <w:vAlign w:val="center"/>
          </w:tcPr>
          <w:p w14:paraId="72EA85AA">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2E25B17B">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lang w:val="en-US" w:eastAsia="zh-CN"/>
              </w:rPr>
            </w:pPr>
            <w:r>
              <w:rPr>
                <w:rFonts w:hint="eastAsia" w:ascii="方正仿宋_GBK" w:hAnsi="方正仿宋_GBK" w:eastAsia="方正仿宋_GBK" w:cs="方正仿宋_GBK"/>
                <w:color w:val="000000"/>
                <w:kern w:val="0"/>
                <w:sz w:val="32"/>
                <w:szCs w:val="32"/>
                <w:highlight w:val="none"/>
                <w:lang w:eastAsia="zh-CN"/>
              </w:rPr>
              <w:t>基层</w:t>
            </w:r>
            <w:r>
              <w:rPr>
                <w:rFonts w:hint="eastAsia" w:ascii="方正仿宋_GBK" w:hAnsi="方正仿宋_GBK" w:eastAsia="方正仿宋_GBK" w:cs="方正仿宋_GBK"/>
                <w:color w:val="000000"/>
                <w:kern w:val="0"/>
                <w:sz w:val="32"/>
                <w:szCs w:val="32"/>
                <w:highlight w:val="none"/>
                <w:lang w:val="en-US" w:eastAsia="zh-CN"/>
              </w:rPr>
              <w:t>组织建设</w:t>
            </w:r>
          </w:p>
        </w:tc>
        <w:tc>
          <w:tcPr>
            <w:tcW w:w="11319" w:type="dxa"/>
            <w:tcBorders>
              <w:top w:val="single" w:color="auto" w:sz="4" w:space="0"/>
              <w:left w:val="single" w:color="auto" w:sz="4" w:space="0"/>
              <w:bottom w:val="single" w:color="auto" w:sz="4" w:space="0"/>
              <w:right w:val="single" w:color="auto" w:sz="4" w:space="0"/>
            </w:tcBorders>
            <w:noWrap w:val="0"/>
            <w:vAlign w:val="center"/>
          </w:tcPr>
          <w:p w14:paraId="4A124A20">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lang w:val="en-US" w:eastAsia="zh-CN"/>
              </w:rPr>
            </w:pPr>
            <w:r>
              <w:rPr>
                <w:rFonts w:hint="eastAsia" w:ascii="方正仿宋_GBK" w:hAnsi="方正仿宋_GBK" w:eastAsia="方正仿宋_GBK" w:cs="方正仿宋_GBK"/>
                <w:color w:val="000000"/>
                <w:kern w:val="0"/>
                <w:sz w:val="32"/>
                <w:szCs w:val="32"/>
                <w:highlight w:val="none"/>
                <w:lang w:val="en-US" w:eastAsia="zh-CN"/>
              </w:rPr>
              <w:t>建立健全基层党组织、工会等组织建设，积极开展组织活动的，加</w:t>
            </w:r>
            <w:r>
              <w:rPr>
                <w:rFonts w:hint="eastAsia" w:ascii="Times New Roman" w:hAnsi="Times New Roman" w:eastAsia="方正仿宋_GBK" w:cs="Times New Roman"/>
                <w:color w:val="000000"/>
                <w:kern w:val="0"/>
                <w:sz w:val="32"/>
                <w:szCs w:val="32"/>
                <w:highlight w:val="none"/>
                <w:lang w:val="en-US" w:eastAsia="zh-CN"/>
              </w:rPr>
              <w:t>1</w:t>
            </w:r>
            <w:r>
              <w:rPr>
                <w:rFonts w:hint="eastAsia" w:ascii="方正仿宋_GBK" w:hAnsi="方正仿宋_GBK" w:eastAsia="方正仿宋_GBK" w:cs="方正仿宋_GBK"/>
                <w:color w:val="000000"/>
                <w:kern w:val="0"/>
                <w:sz w:val="32"/>
                <w:szCs w:val="32"/>
                <w:highlight w:val="none"/>
                <w:lang w:val="en-US" w:eastAsia="zh-CN"/>
              </w:rPr>
              <w:t>分。</w:t>
            </w:r>
          </w:p>
        </w:tc>
        <w:tc>
          <w:tcPr>
            <w:tcW w:w="892" w:type="dxa"/>
            <w:tcBorders>
              <w:top w:val="single" w:color="auto" w:sz="4" w:space="0"/>
              <w:left w:val="single" w:color="auto" w:sz="4" w:space="0"/>
              <w:bottom w:val="single" w:color="auto" w:sz="4" w:space="0"/>
              <w:right w:val="single" w:color="auto" w:sz="4" w:space="0"/>
            </w:tcBorders>
            <w:noWrap/>
            <w:vAlign w:val="center"/>
          </w:tcPr>
          <w:p w14:paraId="31FBF36D">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lang w:val="en-US" w:eastAsia="zh-CN"/>
              </w:rPr>
            </w:pPr>
            <w:r>
              <w:rPr>
                <w:rFonts w:hint="eastAsia" w:ascii="Times New Roman" w:hAnsi="Times New Roman" w:eastAsia="方正仿宋_GBK" w:cs="Times New Roman"/>
                <w:color w:val="000000"/>
                <w:kern w:val="0"/>
                <w:sz w:val="32"/>
                <w:szCs w:val="32"/>
                <w:highlight w:val="none"/>
                <w:lang w:val="en-US" w:eastAsia="zh-CN"/>
              </w:rPr>
              <w:t>1</w:t>
            </w:r>
          </w:p>
        </w:tc>
      </w:tr>
      <w:tr w14:paraId="1E6EE708">
        <w:tblPrEx>
          <w:tblCellMar>
            <w:top w:w="0" w:type="dxa"/>
            <w:left w:w="108" w:type="dxa"/>
            <w:bottom w:w="0" w:type="dxa"/>
            <w:right w:w="108" w:type="dxa"/>
          </w:tblCellMar>
        </w:tblPrEx>
        <w:trPr>
          <w:trHeight w:val="600" w:hRule="atLeast"/>
          <w:jc w:val="center"/>
        </w:trPr>
        <w:tc>
          <w:tcPr>
            <w:tcW w:w="1655" w:type="dxa"/>
            <w:tcBorders>
              <w:top w:val="single" w:color="auto" w:sz="4" w:space="0"/>
              <w:left w:val="single" w:color="auto" w:sz="4" w:space="0"/>
              <w:bottom w:val="single" w:color="auto" w:sz="4" w:space="0"/>
              <w:right w:val="single" w:color="auto" w:sz="4" w:space="0"/>
            </w:tcBorders>
            <w:noWrap w:val="0"/>
            <w:vAlign w:val="center"/>
          </w:tcPr>
          <w:p w14:paraId="2647EEDC">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社会责任</w:t>
            </w:r>
          </w:p>
        </w:tc>
        <w:tc>
          <w:tcPr>
            <w:tcW w:w="1174" w:type="dxa"/>
            <w:tcBorders>
              <w:top w:val="single" w:color="auto" w:sz="4" w:space="0"/>
              <w:left w:val="single" w:color="auto" w:sz="4" w:space="0"/>
              <w:bottom w:val="single" w:color="auto" w:sz="4" w:space="0"/>
              <w:right w:val="single" w:color="auto" w:sz="4" w:space="0"/>
            </w:tcBorders>
            <w:noWrap/>
            <w:vAlign w:val="center"/>
          </w:tcPr>
          <w:p w14:paraId="0053DF4C">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行业稳定</w:t>
            </w:r>
          </w:p>
        </w:tc>
        <w:tc>
          <w:tcPr>
            <w:tcW w:w="11319" w:type="dxa"/>
            <w:tcBorders>
              <w:top w:val="single" w:color="auto" w:sz="4" w:space="0"/>
              <w:left w:val="single" w:color="auto" w:sz="4" w:space="0"/>
              <w:bottom w:val="single" w:color="auto" w:sz="4" w:space="0"/>
              <w:right w:val="single" w:color="auto" w:sz="4" w:space="0"/>
            </w:tcBorders>
            <w:noWrap w:val="0"/>
            <w:vAlign w:val="center"/>
          </w:tcPr>
          <w:p w14:paraId="41A4FCFF">
            <w:pPr>
              <w:keepNext w:val="0"/>
              <w:keepLines w:val="0"/>
              <w:pageBreakBefore w:val="0"/>
              <w:widowControl/>
              <w:suppressAutoHyphens/>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因管理责任引发驾驶员不稳定问题 ，影响社会公共秩序、损害社会公共利益的群体性事件 。发生一次一票否决。</w:t>
            </w:r>
          </w:p>
        </w:tc>
        <w:tc>
          <w:tcPr>
            <w:tcW w:w="892" w:type="dxa"/>
            <w:tcBorders>
              <w:top w:val="single" w:color="auto" w:sz="4" w:space="0"/>
              <w:left w:val="single" w:color="auto" w:sz="4" w:space="0"/>
              <w:bottom w:val="single" w:color="auto" w:sz="4" w:space="0"/>
              <w:right w:val="single" w:color="auto" w:sz="4" w:space="0"/>
            </w:tcBorders>
            <w:noWrap/>
            <w:vAlign w:val="center"/>
          </w:tcPr>
          <w:p w14:paraId="170BF029">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一票否决</w:t>
            </w:r>
          </w:p>
        </w:tc>
      </w:tr>
    </w:tbl>
    <w:p w14:paraId="20DCF317">
      <w:pPr>
        <w:pStyle w:val="2"/>
        <w:rPr>
          <w:rFonts w:hint="default"/>
          <w:lang w:eastAsia="zh-CN"/>
        </w:rPr>
      </w:pPr>
      <w:bookmarkStart w:id="1" w:name="_GoBack"/>
      <w:bookmarkEnd w:id="1"/>
    </w:p>
    <w:sectPr>
      <w:headerReference r:id="rId5" w:type="default"/>
      <w:footerReference r:id="rId6" w:type="default"/>
      <w:pgSz w:w="16838" w:h="11906" w:orient="landscape"/>
      <w:pgMar w:top="1587" w:right="1701" w:bottom="1474" w:left="1474" w:header="1020" w:footer="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7F38E">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48BFF">
                          <w:pPr>
                            <w:pStyle w:val="6"/>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0288;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60148BFF">
                    <w:pPr>
                      <w:pStyle w:val="6"/>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3693D24">
    <w:pPr>
      <w:pStyle w:val="11"/>
      <w:tabs>
        <w:tab w:val="left" w:pos="5419"/>
      </w:tabs>
      <w:ind w:left="8" w:leftChars="0" w:firstLine="11177" w:firstLineChars="3493"/>
      <w:jc w:val="right"/>
      <w:rPr>
        <w:rFonts w:hint="eastAsia" w:eastAsia="仿宋"/>
        <w:sz w:val="32"/>
        <w:szCs w:val="48"/>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59264;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28"/>
        <w:szCs w:val="44"/>
        <w:lang w:eastAsia="zh-CN"/>
      </w:rPr>
      <w:t>黄</w:t>
    </w:r>
    <w:r>
      <w:rPr>
        <w:rFonts w:hint="eastAsia" w:ascii="宋体" w:hAnsi="宋体" w:cs="宋体"/>
        <w:b/>
        <w:bCs/>
        <w:color w:val="005192"/>
        <w:sz w:val="28"/>
        <w:szCs w:val="44"/>
        <w:lang w:val="en-US" w:eastAsia="zh-CN"/>
      </w:rPr>
      <w:t>黄</w:t>
    </w:r>
    <w:r>
      <w:rPr>
        <w:rFonts w:hint="eastAsia" w:ascii="宋体" w:hAnsi="宋体" w:cs="宋体"/>
        <w:b/>
        <w:bCs/>
        <w:color w:val="005192"/>
        <w:sz w:val="28"/>
        <w:szCs w:val="44"/>
        <w:lang w:eastAsia="zh-CN"/>
      </w:rPr>
      <w:t>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eastAsia="zh-CN"/>
      </w:rPr>
      <w:t>交通运输局行政规范性文件</w:t>
    </w:r>
  </w:p>
  <w:p w14:paraId="0785CDFE">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74717">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48895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4882E25">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3.85pt;height:144pt;width:144pt;mso-position-horizontal:outside;mso-position-horizontal-relative:margin;mso-wrap-style:none;z-index:251660288;mso-width-relative:page;mso-height-relative:page;" filled="f" stroked="f" coordsize="21600,21600" o:gfxdata="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&#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ki/VdQAAAAGAQAADwAAAAAAAAABACAAAAAiAAAA&#10;ZHJzL2Rvd25yZXYueG1sUEsBAhQAFAAAAAgAh07iQNJASfbSAQAAogMAAA4AAAAAAAAAAQAgAAAA&#10;IwEAAGRycy9lMm9Eb2MueG1sUEsFBgAAAAAGAAYAWQEAAGcFAAAAAA==&#10;">
              <v:fill on="f" focussize="0,0"/>
              <v:stroke on="f" weight="0.5pt"/>
              <v:imagedata o:title=""/>
              <o:lock v:ext="edit" aspectratio="f"/>
              <v:textbox inset="0mm,0mm,0mm,0mm" style="mso-fit-shape-to-text:t;">
                <w:txbxContent>
                  <w:p w14:paraId="44882E25">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5B8CE7F1">
    <w:pPr>
      <w:pStyle w:val="11"/>
      <w:keepNext w:val="0"/>
      <w:keepLines w:val="0"/>
      <w:pageBreakBefore w:val="0"/>
      <w:widowControl w:val="0"/>
      <w:tabs>
        <w:tab w:val="left" w:pos="5419"/>
      </w:tabs>
      <w:kinsoku/>
      <w:wordWrap/>
      <w:overflowPunct/>
      <w:topLinePunct w:val="0"/>
      <w:autoSpaceDE/>
      <w:autoSpaceDN/>
      <w:bidi w:val="0"/>
      <w:adjustRightInd/>
      <w:snapToGrid w:val="0"/>
      <w:ind w:left="4410" w:leftChars="2100" w:firstLine="5440" w:firstLineChars="1700"/>
      <w:jc w:val="right"/>
      <w:textAlignment w:val="auto"/>
      <w:rPr>
        <w:rFonts w:hint="eastAsia" w:eastAsia="仿宋"/>
        <w:sz w:val="32"/>
        <w:szCs w:val="48"/>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60960</wp:posOffset>
              </wp:positionV>
              <wp:extent cx="8664575" cy="952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8pt;margin-top:4.8pt;height:0.75pt;width:682.25pt;z-index:251659264;mso-width-relative:page;mso-height-relative:page;" filled="f" stroked="t" coordsize="21600,21600" o:gfxdata="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v5ga1gAAAAgBAAAPAAAAAAAAAAEAIAAAACIAAABkcnMvZG93bnJldi54bWxQSwECFAAUAAAA&#10;CACHTuJAYhI2yvABAADDAwAADgAAAAAAAAABACAAAAAlAQAAZHJzL2Uyb0RvYy54bWxQSwUGAAAA&#10;AAYABgBZAQAAhwUAAAAA&#10;">
              <v:fill on="f" focussize="0,0"/>
              <v:stroke weight="1.75pt" color="#005192"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val="en-US" w:eastAsia="zh-CN"/>
      </w:rPr>
      <w:t xml:space="preserve">                       </w:t>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eastAsia="zh-CN"/>
      </w:rPr>
      <w:t>交通运输局行政规范性文件</w:t>
    </w:r>
    <w:r>
      <w:rPr>
        <w:rFonts w:hint="eastAsia" w:eastAsia="仿宋"/>
        <w:sz w:val="32"/>
        <w:szCs w:val="48"/>
        <w:lang w:eastAsia="zh-CN"/>
      </w:rPr>
      <w:tab/>
    </w:r>
    <w:r>
      <w:rPr>
        <w:rFonts w:hint="eastAsia" w:eastAsia="仿宋"/>
        <w:sz w:val="32"/>
        <w:szCs w:val="48"/>
        <w:lang w:eastAsia="zh-CN"/>
      </w:rPr>
      <w:tab/>
    </w:r>
  </w:p>
  <w:p w14:paraId="360F97F3">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BE08">
    <w:pPr>
      <w:pStyle w:val="11"/>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2336;mso-width-relative:page;mso-height-relative:page;" filled="f" stroked="t" coordsize="21600,21600" o:gfxdata="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gFBL&#10;1gAAAAkBAAAPAAAAAAAAAAEAIAAAACIAAABkcnMvZG93bnJldi54bWxQSwECFAAUAAAACACHTuJA&#10;gteiS+oBAAC3AwAADgAAAAAAAAABACAAAAAlAQAAZHJzL2Uyb0RvYy54bWxQSwUGAAAAAAYABgBZ&#10;AQAAgQUA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w:t>
    </w:r>
    <w:r>
      <w:rPr>
        <w:rFonts w:hint="eastAsia" w:ascii="宋体" w:hAnsi="宋体" w:cs="宋体"/>
        <w:b/>
        <w:bCs/>
        <w:color w:val="005192"/>
        <w:sz w:val="32"/>
        <w:szCs w:val="32"/>
        <w:lang w:eastAsia="zh-CN"/>
      </w:rPr>
      <w:t>交通运输局</w:t>
    </w:r>
    <w:r>
      <w:rPr>
        <w:rFonts w:hint="eastAsia" w:ascii="宋体" w:hAnsi="宋体" w:eastAsia="宋体" w:cs="宋体"/>
        <w:b/>
        <w:bCs/>
        <w:color w:val="005192"/>
        <w:sz w:val="32"/>
        <w:szCs w:val="32"/>
        <w:lang w:eastAsia="zh-CN"/>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4080B">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335280</wp:posOffset>
              </wp:positionV>
              <wp:extent cx="8682990" cy="22860"/>
              <wp:effectExtent l="0" t="10795" r="3810" b="2349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45pt;margin-top:26.4pt;height:1.8pt;width:683.7pt;z-index:251661312;mso-width-relative:page;mso-height-relative:page;" filled="f" stroked="t" coordsize="21600,21600" o:gfxdata="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bDpFnUAAAABw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w:t>
    </w:r>
    <w:r>
      <w:rPr>
        <w:rFonts w:hint="eastAsia" w:ascii="宋体" w:hAnsi="宋体" w:cs="宋体"/>
        <w:b/>
        <w:bCs/>
        <w:color w:val="005192"/>
        <w:sz w:val="32"/>
        <w:szCs w:val="32"/>
        <w:lang w:eastAsia="zh-CN"/>
      </w:rPr>
      <w:t>交通运输局</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CA41FD3"/>
    <w:rsid w:val="1DEC284C"/>
    <w:rsid w:val="1E6523AC"/>
    <w:rsid w:val="21703D3E"/>
    <w:rsid w:val="22440422"/>
    <w:rsid w:val="27077982"/>
    <w:rsid w:val="2BBD07DD"/>
    <w:rsid w:val="31A15F24"/>
    <w:rsid w:val="32D970D7"/>
    <w:rsid w:val="395347B5"/>
    <w:rsid w:val="39A232A0"/>
    <w:rsid w:val="39E745AA"/>
    <w:rsid w:val="3AF7A775"/>
    <w:rsid w:val="3B5A6BBB"/>
    <w:rsid w:val="3CECFB30"/>
    <w:rsid w:val="3EDA13A6"/>
    <w:rsid w:val="3FBF015B"/>
    <w:rsid w:val="3FEDB706"/>
    <w:rsid w:val="3FFFD2C6"/>
    <w:rsid w:val="42F058B7"/>
    <w:rsid w:val="436109F6"/>
    <w:rsid w:val="441A38D4"/>
    <w:rsid w:val="4BC77339"/>
    <w:rsid w:val="4C9236C5"/>
    <w:rsid w:val="4E400EEF"/>
    <w:rsid w:val="505C172E"/>
    <w:rsid w:val="52F46F0B"/>
    <w:rsid w:val="53D8014D"/>
    <w:rsid w:val="55E064E0"/>
    <w:rsid w:val="572C6D10"/>
    <w:rsid w:val="5DC34279"/>
    <w:rsid w:val="5EBFF57E"/>
    <w:rsid w:val="5F4A1193"/>
    <w:rsid w:val="5FFF3173"/>
    <w:rsid w:val="608816D1"/>
    <w:rsid w:val="60EF4E7F"/>
    <w:rsid w:val="629D8E0A"/>
    <w:rsid w:val="6585242C"/>
    <w:rsid w:val="665233C1"/>
    <w:rsid w:val="67A020DA"/>
    <w:rsid w:val="67F3476A"/>
    <w:rsid w:val="680B2C98"/>
    <w:rsid w:val="6AD9688B"/>
    <w:rsid w:val="6BFE0CED"/>
    <w:rsid w:val="6D0E3F22"/>
    <w:rsid w:val="6DFD9271"/>
    <w:rsid w:val="6FFD085F"/>
    <w:rsid w:val="75FD9FF7"/>
    <w:rsid w:val="776D9A4A"/>
    <w:rsid w:val="7B2F89FD"/>
    <w:rsid w:val="7C9011D9"/>
    <w:rsid w:val="7DC651C5"/>
    <w:rsid w:val="7DFCC429"/>
    <w:rsid w:val="7EDAE488"/>
    <w:rsid w:val="7F4E7FC4"/>
    <w:rsid w:val="7FBF7B03"/>
    <w:rsid w:val="7FCC2834"/>
    <w:rsid w:val="7FD617F4"/>
    <w:rsid w:val="7FDF7C41"/>
    <w:rsid w:val="7FF7C8FB"/>
    <w:rsid w:val="7FF8A6B0"/>
    <w:rsid w:val="7FFD0266"/>
    <w:rsid w:val="7FFEBE51"/>
    <w:rsid w:val="7FFFD082"/>
    <w:rsid w:val="8D6E52C4"/>
    <w:rsid w:val="8F6E4B31"/>
    <w:rsid w:val="9DFF788F"/>
    <w:rsid w:val="AEEF45E2"/>
    <w:rsid w:val="C9FC2132"/>
    <w:rsid w:val="DDF5F0E0"/>
    <w:rsid w:val="DEFB6250"/>
    <w:rsid w:val="DFFB2C93"/>
    <w:rsid w:val="EBFEBC0F"/>
    <w:rsid w:val="F36FDE65"/>
    <w:rsid w:val="F5FA2B2A"/>
    <w:rsid w:val="F656D6E5"/>
    <w:rsid w:val="F67E36F1"/>
    <w:rsid w:val="F7BF4E61"/>
    <w:rsid w:val="F9B9612C"/>
    <w:rsid w:val="FAEFB9CD"/>
    <w:rsid w:val="FB9ED17B"/>
    <w:rsid w:val="FBD7D598"/>
    <w:rsid w:val="FBED91C0"/>
    <w:rsid w:val="FDEF3A53"/>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next w:val="6"/>
    <w:qFormat/>
    <w:uiPriority w:val="0"/>
    <w:pPr>
      <w:spacing w:before="0" w:after="140" w:line="276" w:lineRule="auto"/>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Body Text Indent"/>
    <w:basedOn w:val="1"/>
    <w:next w:val="2"/>
    <w:semiHidden/>
    <w:qFormat/>
    <w:uiPriority w:val="99"/>
    <w:pPr>
      <w:spacing w:after="120"/>
      <w:ind w:left="420" w:leftChars="200"/>
    </w:pPr>
  </w:style>
  <w:style w:type="paragraph" w:styleId="8">
    <w:name w:val="Plain Text"/>
    <w:basedOn w:val="1"/>
    <w:qFormat/>
    <w:uiPriority w:val="0"/>
    <w:rPr>
      <w:rFonts w:ascii="Calibri" w:hAnsi="Calibri"/>
      <w:szCs w:val="21"/>
    </w:r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3"/>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jc w:val="center"/>
      <w:outlineLvl w:val="0"/>
    </w:pPr>
    <w:rPr>
      <w:rFonts w:ascii="Arial" w:hAnsi="Arial" w:eastAsia="宋体"/>
      <w:b/>
    </w:rPr>
  </w:style>
  <w:style w:type="paragraph" w:styleId="16">
    <w:name w:val="Body Text First Indent"/>
    <w:basedOn w:val="5"/>
    <w:qFormat/>
    <w:uiPriority w:val="0"/>
    <w:pPr>
      <w:spacing w:after="0"/>
      <w:ind w:firstLine="420"/>
    </w:pPr>
    <w:rPr>
      <w:sz w:val="32"/>
    </w:rPr>
  </w:style>
  <w:style w:type="paragraph" w:styleId="17">
    <w:name w:val="Body Text First Indent 2"/>
    <w:basedOn w:val="7"/>
    <w:next w:val="7"/>
    <w:qFormat/>
    <w:uiPriority w:val="99"/>
    <w:pPr>
      <w:ind w:firstLine="420" w:firstLineChars="200"/>
    </w:p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3">
    <w:name w:val="批注框文本 Char"/>
    <w:basedOn w:val="20"/>
    <w:link w:val="10"/>
    <w:qFormat/>
    <w:uiPriority w:val="0"/>
    <w:rPr>
      <w:rFonts w:asciiTheme="minorHAnsi" w:hAnsiTheme="minorHAnsi" w:eastAsiaTheme="minorEastAsia" w:cstheme="minorBidi"/>
      <w:kern w:val="2"/>
      <w:sz w:val="18"/>
      <w:szCs w:val="18"/>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NormalCharacter"/>
    <w:semiHidden/>
    <w:qFormat/>
    <w:uiPriority w:val="0"/>
    <w:rPr>
      <w:rFonts w:eastAsia="方正仿宋_GBK"/>
      <w:kern w:val="2"/>
      <w:sz w:val="32"/>
      <w:szCs w:val="32"/>
      <w:lang w:val="en-US" w:eastAsia="zh-CN" w:bidi="ar-SA"/>
    </w:rPr>
  </w:style>
  <w:style w:type="paragraph" w:customStyle="1" w:styleId="26">
    <w:name w:val="p0"/>
    <w:basedOn w:val="1"/>
    <w:qFormat/>
    <w:uiPriority w:val="0"/>
    <w:pPr>
      <w:widowControl/>
    </w:pPr>
    <w:rPr>
      <w:rFonts w:ascii="Calibri" w:hAnsi="Calibri" w:cs="宋体"/>
      <w:kern w:val="0"/>
      <w:szCs w:val="21"/>
    </w:rPr>
  </w:style>
  <w:style w:type="paragraph" w:customStyle="1" w:styleId="27">
    <w:name w:val="公文正文"/>
    <w:basedOn w:val="28"/>
    <w:qFormat/>
    <w:uiPriority w:val="0"/>
    <w:pPr>
      <w:widowControl/>
      <w:overflowPunct w:val="0"/>
      <w:adjustRightInd w:val="0"/>
      <w:snapToGrid w:val="0"/>
      <w:spacing w:line="560" w:lineRule="exact"/>
      <w:ind w:firstLine="420" w:firstLineChars="200"/>
      <w:jc w:val="both"/>
      <w:outlineLvl w:val="9"/>
    </w:pPr>
    <w:rPr>
      <w:rFonts w:ascii="Times New Roman" w:hAnsi="Times New Roman" w:eastAsia="仿宋_GB2312"/>
      <w:sz w:val="32"/>
      <w:szCs w:val="32"/>
    </w:rPr>
  </w:style>
  <w:style w:type="paragraph" w:customStyle="1" w:styleId="28">
    <w:name w:val="公文标题"/>
    <w:basedOn w:val="1"/>
    <w:qFormat/>
    <w:uiPriority w:val="0"/>
    <w:pPr>
      <w:widowControl/>
      <w:overflowPunct w:val="0"/>
      <w:adjustRightInd w:val="0"/>
      <w:snapToGrid w:val="0"/>
      <w:spacing w:line="560" w:lineRule="exact"/>
      <w:ind w:firstLine="0" w:firstLineChars="0"/>
      <w:jc w:val="center"/>
      <w:outlineLvl w:val="0"/>
    </w:pPr>
    <w:rPr>
      <w:rFonts w:ascii="Times New Roman" w:hAnsi="Times New Roman" w:eastAsia="方正小标宋_GBK" w:cs="Times New Roman"/>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5492</Words>
  <Characters>5594</Characters>
  <Lines>5</Lines>
  <Paragraphs>1</Paragraphs>
  <TotalTime>190</TotalTime>
  <ScaleCrop>false</ScaleCrop>
  <LinksUpToDate>false</LinksUpToDate>
  <CharactersWithSpaces>5663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2021-09-20T02:41:00Z</dcterms:created>
  <dc:creator>t</dc:creator>
  <cp:lastModifiedBy>冷 </cp:lastModifiedBy>
  <cp:lastPrinted>2021-11-06T03:30:00Z</cp:lastPrinted>
  <dcterms:modified xsi:type="dcterms:W3CDTF">2025-04-27T07:23:52Z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D68A612AE5F04ACFA4D911E19F54DBE1_13</vt:lpwstr>
  </property>
  <property fmtid="{D5CDD505-2E9C-101B-9397-08002B2CF9AE}" pid="4" name="KSOTemplateDocerSaveRecord">
    <vt:lpwstr>eyJoZGlkIjoiNzVjZDM3NjJmNDQwY2JjYjk2ZTg2YmZlNzhiOWE1OWUiLCJ1c2VySWQiOiIyNTg3NzU4ODAifQ==</vt:lpwstr>
  </property>
</Properties>
</file>