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rPr>
          <w:rFonts w:ascii="方正小标宋简体" w:eastAsia="方正小标宋简体"/>
          <w:color w:val="auto"/>
          <w:sz w:val="44"/>
          <w:szCs w:val="44"/>
        </w:rPr>
      </w:pPr>
    </w:p>
    <w:p>
      <w:pPr>
        <w:spacing w:after="0" w:line="60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黄山市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危险货物道路运输</w:t>
      </w:r>
      <w:r>
        <w:rPr>
          <w:rFonts w:hint="eastAsia" w:ascii="方正小标宋简体" w:eastAsia="方正小标宋简体"/>
          <w:color w:val="auto"/>
          <w:sz w:val="44"/>
          <w:szCs w:val="44"/>
        </w:rPr>
        <w:t>企业信用分类</w:t>
      </w:r>
    </w:p>
    <w:p>
      <w:pPr>
        <w:spacing w:after="0" w:line="60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监管考核办法</w:t>
      </w:r>
    </w:p>
    <w:p>
      <w:pPr>
        <w:spacing w:after="0" w:line="600" w:lineRule="exact"/>
        <w:rPr>
          <w:rFonts w:ascii="仿宋_GB2312" w:eastAsia="仿宋_GB2312"/>
          <w:color w:val="auto"/>
          <w:sz w:val="32"/>
          <w:szCs w:val="32"/>
        </w:rPr>
      </w:pPr>
    </w:p>
    <w:p>
      <w:pPr>
        <w:spacing w:after="0" w:line="600" w:lineRule="exact"/>
        <w:rPr>
          <w:rFonts w:ascii="仿宋_GB2312" w:eastAsia="仿宋_GB2312"/>
          <w:color w:val="auto"/>
          <w:sz w:val="32"/>
          <w:szCs w:val="32"/>
        </w:rPr>
      </w:pPr>
    </w:p>
    <w:p>
      <w:pPr>
        <w:spacing w:after="0" w:line="600" w:lineRule="exact"/>
        <w:jc w:val="center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第一章</w:t>
      </w:r>
      <w:r>
        <w:rPr>
          <w:rFonts w:ascii="黑体" w:hAnsi="黑体" w:eastAsia="黑体"/>
          <w:color w:val="auto"/>
          <w:sz w:val="32"/>
          <w:szCs w:val="32"/>
        </w:rPr>
        <w:t xml:space="preserve">  </w:t>
      </w:r>
      <w:r>
        <w:rPr>
          <w:rFonts w:hint="eastAsia" w:ascii="黑体" w:hAnsi="黑体" w:eastAsia="黑体"/>
          <w:color w:val="auto"/>
          <w:sz w:val="32"/>
          <w:szCs w:val="32"/>
        </w:rPr>
        <w:t>总则</w:t>
      </w:r>
    </w:p>
    <w:p>
      <w:pPr>
        <w:spacing w:after="0" w:line="600" w:lineRule="exact"/>
        <w:ind w:firstLine="640" w:firstLineChars="20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第一条</w:t>
      </w:r>
      <w:r>
        <w:rPr>
          <w:rFonts w:ascii="仿宋_GB2312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为加快构建以信用为核心的新型监管机制，提升市场监管科学化、精准化水平，规范我市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危险货物道路</w:t>
      </w:r>
      <w:r>
        <w:rPr>
          <w:rFonts w:hint="eastAsia" w:ascii="仿宋_GB2312" w:eastAsia="仿宋_GB2312"/>
          <w:color w:val="auto"/>
          <w:sz w:val="32"/>
          <w:szCs w:val="32"/>
        </w:rPr>
        <w:t>运输经营行为，加强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危险货物道路</w:t>
      </w:r>
      <w:r>
        <w:rPr>
          <w:rFonts w:hint="eastAsia" w:ascii="仿宋_GB2312" w:eastAsia="仿宋_GB2312"/>
          <w:color w:val="auto"/>
          <w:sz w:val="32"/>
          <w:szCs w:val="32"/>
        </w:rPr>
        <w:t>运输企业信用分类管理，保障运输安全，提升服务质量，根据《安徽省企业信用分类监管暂行办法》，结合本市及本行业实际，制定本办法。</w:t>
      </w:r>
    </w:p>
    <w:p>
      <w:pPr>
        <w:spacing w:after="0" w:line="600" w:lineRule="exact"/>
        <w:ind w:firstLine="640" w:firstLineChars="20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第二条</w:t>
      </w:r>
      <w:r>
        <w:rPr>
          <w:rFonts w:ascii="仿宋_GB2312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本办法所称的信用分类监管，是指交通运输主管部门在考核周期内对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危险货物道路</w:t>
      </w:r>
      <w:r>
        <w:rPr>
          <w:rFonts w:hint="eastAsia" w:ascii="仿宋_GB2312" w:eastAsia="仿宋_GB2312"/>
          <w:color w:val="auto"/>
          <w:sz w:val="32"/>
          <w:szCs w:val="32"/>
        </w:rPr>
        <w:t>运输企业设施设备、经营行为、安全管理、服务质量等方面进行综合考评，并依据信用评级情况采取守信激励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_GB2312" w:eastAsia="仿宋_GB2312"/>
          <w:color w:val="auto"/>
          <w:sz w:val="32"/>
          <w:szCs w:val="32"/>
        </w:rPr>
        <w:t>失信惩戒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color w:val="auto"/>
          <w:sz w:val="32"/>
          <w:szCs w:val="32"/>
        </w:rPr>
        <w:t>奖惩措施，实现行业分类监管。</w:t>
      </w:r>
    </w:p>
    <w:p>
      <w:pPr>
        <w:spacing w:after="0" w:line="600" w:lineRule="exact"/>
        <w:ind w:firstLine="640" w:firstLineChars="20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color w:val="auto"/>
          <w:sz w:val="32"/>
          <w:szCs w:val="32"/>
        </w:rPr>
        <w:t>条</w:t>
      </w:r>
      <w:r>
        <w:rPr>
          <w:rFonts w:ascii="仿宋_GB2312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本办法适用于在本市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许可的危险货物道路</w:t>
      </w:r>
      <w:r>
        <w:rPr>
          <w:rFonts w:hint="eastAsia" w:ascii="仿宋_GB2312" w:eastAsia="仿宋_GB2312"/>
          <w:color w:val="auto"/>
          <w:sz w:val="32"/>
          <w:szCs w:val="32"/>
        </w:rPr>
        <w:t>运输企业。</w:t>
      </w:r>
    </w:p>
    <w:p>
      <w:pPr>
        <w:spacing w:after="0" w:line="600" w:lineRule="exact"/>
        <w:jc w:val="center"/>
        <w:rPr>
          <w:rFonts w:ascii="黑体" w:hAnsi="黑体" w:eastAsia="黑体"/>
          <w:color w:val="auto"/>
          <w:sz w:val="32"/>
          <w:szCs w:val="32"/>
        </w:rPr>
      </w:pPr>
    </w:p>
    <w:p>
      <w:pPr>
        <w:spacing w:after="0" w:line="600" w:lineRule="exact"/>
        <w:jc w:val="center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第二章</w:t>
      </w:r>
      <w:r>
        <w:rPr>
          <w:rFonts w:ascii="黑体" w:hAnsi="黑体" w:eastAsia="黑体"/>
          <w:color w:val="auto"/>
          <w:sz w:val="32"/>
          <w:szCs w:val="32"/>
        </w:rPr>
        <w:t xml:space="preserve">  </w:t>
      </w:r>
      <w:r>
        <w:rPr>
          <w:rFonts w:hint="eastAsia" w:ascii="黑体" w:hAnsi="黑体" w:eastAsia="黑体"/>
          <w:color w:val="auto"/>
          <w:sz w:val="32"/>
          <w:szCs w:val="32"/>
        </w:rPr>
        <w:t>信用考核评级认定</w:t>
      </w:r>
    </w:p>
    <w:p>
      <w:pPr>
        <w:spacing w:after="0" w:line="600" w:lineRule="exact"/>
        <w:ind w:firstLine="640" w:firstLineChars="20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color w:val="auto"/>
          <w:sz w:val="32"/>
          <w:szCs w:val="32"/>
        </w:rPr>
        <w:t>条</w:t>
      </w:r>
      <w:r>
        <w:rPr>
          <w:rFonts w:ascii="仿宋_GB2312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危险货物道路</w:t>
      </w:r>
      <w:r>
        <w:rPr>
          <w:rFonts w:hint="eastAsia" w:ascii="仿宋_GB2312" w:eastAsia="仿宋_GB2312"/>
          <w:color w:val="auto"/>
          <w:sz w:val="32"/>
          <w:szCs w:val="32"/>
        </w:rPr>
        <w:t>运输企业信用考核等级分为优良（</w:t>
      </w:r>
      <w:r>
        <w:rPr>
          <w:rFonts w:ascii="仿宋_GB2312" w:eastAsia="仿宋_GB2312"/>
          <w:color w:val="auto"/>
          <w:sz w:val="32"/>
          <w:szCs w:val="32"/>
        </w:rPr>
        <w:t>AA</w:t>
      </w:r>
      <w:r>
        <w:rPr>
          <w:rFonts w:hint="eastAsia" w:ascii="仿宋_GB2312" w:eastAsia="仿宋_GB2312"/>
          <w:color w:val="auto"/>
          <w:sz w:val="32"/>
          <w:szCs w:val="32"/>
        </w:rPr>
        <w:t>级）、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良好</w:t>
      </w: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ascii="仿宋_GB2312" w:eastAsia="仿宋_GB2312"/>
          <w:color w:val="auto"/>
          <w:sz w:val="32"/>
          <w:szCs w:val="32"/>
        </w:rPr>
        <w:t>A</w:t>
      </w:r>
      <w:r>
        <w:rPr>
          <w:rFonts w:hint="eastAsia" w:ascii="仿宋_GB2312" w:eastAsia="仿宋_GB2312"/>
          <w:color w:val="auto"/>
          <w:sz w:val="32"/>
          <w:szCs w:val="32"/>
        </w:rPr>
        <w:t>级）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合格</w:t>
      </w: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B</w:t>
      </w:r>
      <w:r>
        <w:rPr>
          <w:rFonts w:hint="eastAsia" w:ascii="仿宋_GB2312" w:eastAsia="仿宋_GB2312"/>
          <w:color w:val="auto"/>
          <w:sz w:val="32"/>
          <w:szCs w:val="32"/>
        </w:rPr>
        <w:t>级）和基本合格（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C</w:t>
      </w:r>
      <w:r>
        <w:rPr>
          <w:rFonts w:hint="eastAsia" w:ascii="仿宋_GB2312" w:eastAsia="仿宋_GB2312"/>
          <w:color w:val="auto"/>
          <w:sz w:val="32"/>
          <w:szCs w:val="32"/>
        </w:rPr>
        <w:t>级）、不合格（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D</w:t>
      </w:r>
      <w:r>
        <w:rPr>
          <w:rFonts w:hint="eastAsia" w:ascii="仿宋_GB2312" w:eastAsia="仿宋_GB2312"/>
          <w:color w:val="auto"/>
          <w:sz w:val="32"/>
          <w:szCs w:val="32"/>
        </w:rPr>
        <w:t>级）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color w:val="auto"/>
          <w:sz w:val="32"/>
          <w:szCs w:val="32"/>
        </w:rPr>
        <w:t>个等级。</w:t>
      </w:r>
    </w:p>
    <w:p>
      <w:pPr>
        <w:spacing w:after="0" w:line="600" w:lineRule="exact"/>
        <w:ind w:firstLine="640" w:firstLineChars="20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color w:val="auto"/>
          <w:sz w:val="32"/>
          <w:szCs w:val="32"/>
        </w:rPr>
        <w:t>条</w:t>
      </w:r>
      <w:r>
        <w:rPr>
          <w:rFonts w:ascii="仿宋_GB2312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危险货物道路</w:t>
      </w:r>
      <w:r>
        <w:rPr>
          <w:rFonts w:hint="eastAsia" w:ascii="仿宋_GB2312" w:eastAsia="仿宋_GB2312"/>
          <w:color w:val="auto"/>
          <w:sz w:val="32"/>
          <w:szCs w:val="32"/>
        </w:rPr>
        <w:t>运输企业信用等级考核指标包括：设施设备、经营行为、安全管理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服务质量</w:t>
      </w:r>
      <w:r>
        <w:rPr>
          <w:rFonts w:hint="eastAsia" w:ascii="仿宋_GB2312" w:eastAsia="仿宋_GB2312"/>
          <w:color w:val="auto"/>
          <w:sz w:val="32"/>
          <w:szCs w:val="32"/>
        </w:rPr>
        <w:t>及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加分项目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spacing w:after="0" w:line="600" w:lineRule="exact"/>
        <w:ind w:firstLine="640" w:firstLineChars="20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第六条</w:t>
      </w:r>
      <w:r>
        <w:rPr>
          <w:rFonts w:ascii="仿宋_GB2312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危险货物道路</w:t>
      </w:r>
      <w:r>
        <w:rPr>
          <w:rFonts w:hint="eastAsia" w:ascii="仿宋_GB2312" w:eastAsia="仿宋_GB2312"/>
          <w:color w:val="auto"/>
          <w:sz w:val="32"/>
          <w:szCs w:val="32"/>
        </w:rPr>
        <w:t>运输企业信用考核实行计分制，基准分总分为</w:t>
      </w:r>
      <w:r>
        <w:rPr>
          <w:rFonts w:ascii="仿宋_GB2312" w:eastAsia="仿宋_GB2312"/>
          <w:color w:val="auto"/>
          <w:sz w:val="32"/>
          <w:szCs w:val="32"/>
        </w:rPr>
        <w:t>100</w:t>
      </w:r>
      <w:r>
        <w:rPr>
          <w:rFonts w:hint="eastAsia" w:ascii="仿宋_GB2312" w:eastAsia="仿宋_GB2312"/>
          <w:color w:val="auto"/>
          <w:sz w:val="32"/>
          <w:szCs w:val="32"/>
        </w:rPr>
        <w:t>分，其中设施设备指标为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color w:val="auto"/>
          <w:sz w:val="32"/>
          <w:szCs w:val="32"/>
        </w:rPr>
        <w:t>分、经营行为指标为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color w:val="auto"/>
          <w:sz w:val="32"/>
          <w:szCs w:val="32"/>
        </w:rPr>
        <w:t>分、安全管理指标为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55</w:t>
      </w:r>
      <w:r>
        <w:rPr>
          <w:rFonts w:hint="eastAsia" w:ascii="仿宋_GB2312" w:eastAsia="仿宋_GB2312"/>
          <w:color w:val="auto"/>
          <w:sz w:val="32"/>
          <w:szCs w:val="32"/>
        </w:rPr>
        <w:t>分、服务质量指标为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分。另设加分项目为</w:t>
      </w:r>
      <w:r>
        <w:rPr>
          <w:rFonts w:ascii="仿宋_GB2312" w:eastAsia="仿宋_GB2312"/>
          <w:color w:val="auto"/>
          <w:sz w:val="32"/>
          <w:szCs w:val="32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分。具体计分办法见《黄山市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危险货物道路</w:t>
      </w:r>
      <w:r>
        <w:rPr>
          <w:rFonts w:hint="eastAsia" w:ascii="仿宋_GB2312" w:eastAsia="仿宋_GB2312"/>
          <w:color w:val="auto"/>
          <w:sz w:val="32"/>
          <w:szCs w:val="32"/>
        </w:rPr>
        <w:t>运输企业信用考核计分标准》（详见附件）。</w:t>
      </w:r>
    </w:p>
    <w:p>
      <w:pPr>
        <w:spacing w:after="0" w:line="600" w:lineRule="exact"/>
        <w:ind w:firstLine="640" w:firstLineChars="20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第七条</w:t>
      </w:r>
      <w:r>
        <w:rPr>
          <w:rFonts w:ascii="仿宋_GB2312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危险货物道路</w:t>
      </w:r>
      <w:r>
        <w:rPr>
          <w:rFonts w:hint="eastAsia" w:ascii="仿宋_GB2312" w:eastAsia="仿宋_GB2312"/>
          <w:color w:val="auto"/>
          <w:sz w:val="32"/>
          <w:szCs w:val="32"/>
        </w:rPr>
        <w:t>运输企业信用考核等级，由黄山市交通运输局按照下列标准进行评定：</w:t>
      </w:r>
    </w:p>
    <w:p>
      <w:pPr>
        <w:spacing w:after="0" w:line="600" w:lineRule="exact"/>
        <w:ind w:firstLine="640" w:firstLineChars="20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（一）信用考核周期内未发生亡人交通责任事故，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且考核周期内负主要责任的交通事故总起数小于2起，累计</w:t>
      </w:r>
      <w:r>
        <w:rPr>
          <w:rFonts w:hint="eastAsia" w:ascii="仿宋_GB2312" w:eastAsia="仿宋_GB2312"/>
          <w:color w:val="auto"/>
          <w:sz w:val="32"/>
          <w:szCs w:val="32"/>
        </w:rPr>
        <w:t>直接经济损失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小于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00万元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考核总分（含加分项，下同）不低于</w:t>
      </w:r>
      <w:r>
        <w:rPr>
          <w:rFonts w:ascii="仿宋_GB2312" w:eastAsia="仿宋_GB2312"/>
          <w:color w:val="auto"/>
          <w:sz w:val="32"/>
          <w:szCs w:val="32"/>
        </w:rPr>
        <w:t>85</w:t>
      </w:r>
      <w:r>
        <w:rPr>
          <w:rFonts w:hint="eastAsia" w:ascii="仿宋_GB2312" w:eastAsia="仿宋_GB2312"/>
          <w:color w:val="auto"/>
          <w:sz w:val="32"/>
          <w:szCs w:val="32"/>
        </w:rPr>
        <w:t>分，且计分周期内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未发生因运输介质泄露而引起的环境污染事件，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无</w:t>
      </w:r>
      <w:r>
        <w:rPr>
          <w:rFonts w:hint="eastAsia" w:ascii="仿宋_GB2312" w:eastAsia="仿宋_GB2312"/>
          <w:color w:val="auto"/>
          <w:sz w:val="32"/>
          <w:szCs w:val="32"/>
        </w:rPr>
        <w:t>查实运输与电子运单不符的货物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color w:val="auto"/>
          <w:sz w:val="32"/>
          <w:szCs w:val="32"/>
        </w:rPr>
        <w:t>行为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无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伪造、篡改、删除车辆动态监控数据；恶意屏蔽卫星定位装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置信号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的行为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，安全生产标准化达标或者到期及时复评的，</w:t>
      </w:r>
      <w:r>
        <w:rPr>
          <w:rFonts w:hint="eastAsia" w:ascii="仿宋_GB2312" w:eastAsia="仿宋_GB2312"/>
          <w:color w:val="auto"/>
          <w:sz w:val="32"/>
          <w:szCs w:val="32"/>
        </w:rPr>
        <w:t>考核等级为</w:t>
      </w:r>
      <w:r>
        <w:rPr>
          <w:rFonts w:ascii="仿宋_GB2312" w:eastAsia="仿宋_GB2312"/>
          <w:color w:val="auto"/>
          <w:sz w:val="32"/>
          <w:szCs w:val="32"/>
        </w:rPr>
        <w:t>AA</w:t>
      </w:r>
      <w:r>
        <w:rPr>
          <w:rFonts w:hint="eastAsia" w:ascii="仿宋_GB2312" w:eastAsia="仿宋_GB2312"/>
          <w:color w:val="auto"/>
          <w:sz w:val="32"/>
          <w:szCs w:val="32"/>
        </w:rPr>
        <w:t>级；</w:t>
      </w:r>
    </w:p>
    <w:p>
      <w:pPr>
        <w:spacing w:after="0" w:line="600" w:lineRule="exact"/>
        <w:ind w:firstLine="640" w:firstLineChars="20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（二）信用考核周期内未发生亡人交通责任事故，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且考核周期内负主要责任的交通事故总起数小于3起，累计</w:t>
      </w:r>
      <w:r>
        <w:rPr>
          <w:rFonts w:hint="eastAsia" w:ascii="仿宋_GB2312" w:eastAsia="仿宋_GB2312"/>
          <w:color w:val="auto"/>
          <w:sz w:val="32"/>
          <w:szCs w:val="32"/>
        </w:rPr>
        <w:t>直接经济损失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小于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color w:val="auto"/>
          <w:sz w:val="32"/>
          <w:szCs w:val="32"/>
        </w:rPr>
        <w:t>0万元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考核总分合计在</w:t>
      </w:r>
      <w:r>
        <w:rPr>
          <w:rFonts w:ascii="仿宋_GB2312" w:eastAsia="仿宋_GB2312"/>
          <w:color w:val="auto"/>
          <w:sz w:val="32"/>
          <w:szCs w:val="32"/>
        </w:rPr>
        <w:t>7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分至</w:t>
      </w:r>
      <w:r>
        <w:rPr>
          <w:rFonts w:ascii="仿宋_GB2312" w:eastAsia="仿宋_GB2312"/>
          <w:color w:val="auto"/>
          <w:sz w:val="32"/>
          <w:szCs w:val="32"/>
        </w:rPr>
        <w:t>85</w:t>
      </w:r>
      <w:r>
        <w:rPr>
          <w:rFonts w:hint="eastAsia" w:ascii="仿宋_GB2312" w:eastAsia="仿宋_GB2312"/>
          <w:color w:val="auto"/>
          <w:sz w:val="32"/>
          <w:szCs w:val="32"/>
        </w:rPr>
        <w:t>分之间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不含85分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，且计分周期内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未发生因运输介质泄露而引起的环境污染事件；</w:t>
      </w:r>
      <w:r>
        <w:rPr>
          <w:rFonts w:hint="eastAsia" w:ascii="仿宋_GB2312" w:eastAsia="仿宋_GB2312"/>
          <w:color w:val="auto"/>
          <w:sz w:val="32"/>
          <w:szCs w:val="32"/>
        </w:rPr>
        <w:t>查实运输与电子运单不符的货物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color w:val="auto"/>
          <w:sz w:val="32"/>
          <w:szCs w:val="32"/>
        </w:rPr>
        <w:t>行为不超过3起的（含3起）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无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伪造、篡改、删除车辆动态监控数据，恶意屏蔽卫星定位装置信号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的行为、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安全生产标准化达标或者到期及时复评的，</w:t>
      </w:r>
      <w:r>
        <w:rPr>
          <w:rFonts w:hint="eastAsia" w:ascii="仿宋_GB2312" w:eastAsia="仿宋_GB2312"/>
          <w:color w:val="auto"/>
          <w:sz w:val="32"/>
          <w:szCs w:val="32"/>
        </w:rPr>
        <w:t>考核等级为</w:t>
      </w:r>
      <w:r>
        <w:rPr>
          <w:rFonts w:ascii="仿宋_GB2312" w:eastAsia="仿宋_GB2312"/>
          <w:color w:val="auto"/>
          <w:sz w:val="32"/>
          <w:szCs w:val="32"/>
        </w:rPr>
        <w:t>A</w:t>
      </w:r>
      <w:r>
        <w:rPr>
          <w:rFonts w:hint="eastAsia" w:ascii="仿宋_GB2312" w:eastAsia="仿宋_GB2312"/>
          <w:color w:val="auto"/>
          <w:sz w:val="32"/>
          <w:szCs w:val="32"/>
        </w:rPr>
        <w:t>级；</w:t>
      </w:r>
    </w:p>
    <w:p>
      <w:pPr>
        <w:spacing w:after="0" w:line="600" w:lineRule="exact"/>
        <w:ind w:firstLine="640" w:firstLineChars="20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（三）信用考核周期内未发生亡人交通责任事故，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并且考核周期内负主要责任的交通事故总起数小于4起，累计</w:t>
      </w:r>
      <w:r>
        <w:rPr>
          <w:rFonts w:hint="eastAsia" w:ascii="仿宋_GB2312" w:eastAsia="仿宋_GB2312"/>
          <w:color w:val="auto"/>
          <w:sz w:val="32"/>
          <w:szCs w:val="32"/>
        </w:rPr>
        <w:t>直接经济损失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小于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color w:val="auto"/>
          <w:sz w:val="32"/>
          <w:szCs w:val="32"/>
        </w:rPr>
        <w:t>0万元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且考核总分合计在</w:t>
      </w:r>
      <w:r>
        <w:rPr>
          <w:rFonts w:ascii="仿宋_GB2312" w:eastAsia="仿宋_GB2312"/>
          <w:color w:val="auto"/>
          <w:sz w:val="32"/>
          <w:szCs w:val="32"/>
        </w:rPr>
        <w:t>6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分至</w:t>
      </w:r>
      <w:r>
        <w:rPr>
          <w:rFonts w:ascii="仿宋_GB2312" w:eastAsia="仿宋_GB2312"/>
          <w:color w:val="auto"/>
          <w:sz w:val="32"/>
          <w:szCs w:val="32"/>
        </w:rPr>
        <w:t>7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分之间的</w:t>
      </w:r>
      <w:r>
        <w:rPr>
          <w:rFonts w:ascii="仿宋_GB2312" w:eastAsia="仿宋_GB2312"/>
          <w:color w:val="auto"/>
          <w:sz w:val="32"/>
          <w:szCs w:val="32"/>
        </w:rPr>
        <w:t>(</w:t>
      </w:r>
      <w:r>
        <w:rPr>
          <w:rFonts w:hint="eastAsia" w:ascii="仿宋_GB2312" w:eastAsia="仿宋_GB2312"/>
          <w:color w:val="auto"/>
          <w:sz w:val="32"/>
          <w:szCs w:val="32"/>
        </w:rPr>
        <w:t>不含</w:t>
      </w:r>
      <w:r>
        <w:rPr>
          <w:rFonts w:ascii="仿宋_GB2312" w:eastAsia="仿宋_GB2312"/>
          <w:color w:val="auto"/>
          <w:sz w:val="32"/>
          <w:szCs w:val="32"/>
        </w:rPr>
        <w:t>7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分</w:t>
      </w:r>
      <w:r>
        <w:rPr>
          <w:rFonts w:ascii="仿宋_GB2312" w:eastAsia="仿宋_GB2312"/>
          <w:color w:val="auto"/>
          <w:sz w:val="32"/>
          <w:szCs w:val="32"/>
        </w:rPr>
        <w:t>)</w:t>
      </w:r>
      <w:r>
        <w:rPr>
          <w:rFonts w:hint="eastAsia" w:ascii="仿宋_GB2312" w:eastAsia="仿宋_GB2312"/>
          <w:color w:val="auto"/>
          <w:sz w:val="32"/>
          <w:szCs w:val="32"/>
        </w:rPr>
        <w:t>；且计分周期内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未发生因运输介质泄露而引起的环境污染事件；</w:t>
      </w:r>
      <w:r>
        <w:rPr>
          <w:rFonts w:hint="eastAsia" w:ascii="仿宋_GB2312" w:eastAsia="仿宋_GB2312"/>
          <w:color w:val="auto"/>
          <w:sz w:val="32"/>
          <w:szCs w:val="32"/>
        </w:rPr>
        <w:t>查实运输与电子运单不符的货物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color w:val="auto"/>
          <w:sz w:val="32"/>
          <w:szCs w:val="32"/>
        </w:rPr>
        <w:t>行为大于3起小于7起的（含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32"/>
          <w:szCs w:val="32"/>
        </w:rPr>
        <w:t>起）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无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伪造、篡改、删除车辆动态监控数据、恶意屏蔽卫星定位装置信号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的行为，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安全生产标准化达标或者到期及时复评的，</w:t>
      </w:r>
      <w:r>
        <w:rPr>
          <w:rFonts w:hint="eastAsia" w:ascii="仿宋_GB2312" w:eastAsia="仿宋_GB2312"/>
          <w:color w:val="auto"/>
          <w:sz w:val="32"/>
          <w:szCs w:val="32"/>
        </w:rPr>
        <w:t>考核等级为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B</w:t>
      </w:r>
      <w:r>
        <w:rPr>
          <w:rFonts w:hint="eastAsia" w:ascii="仿宋_GB2312" w:eastAsia="仿宋_GB2312"/>
          <w:color w:val="auto"/>
          <w:sz w:val="32"/>
          <w:szCs w:val="32"/>
        </w:rPr>
        <w:t>级；</w:t>
      </w:r>
      <w:r>
        <w:rPr>
          <w:rFonts w:ascii="仿宋_GB2312" w:eastAsia="仿宋_GB2312"/>
          <w:color w:val="auto"/>
          <w:sz w:val="32"/>
          <w:szCs w:val="32"/>
        </w:rPr>
        <w:t xml:space="preserve"> </w:t>
      </w:r>
    </w:p>
    <w:p>
      <w:pPr>
        <w:spacing w:after="0" w:line="60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（四）信用计分考核周期内发生一次亡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人事故（亡人不超过1人），或者考核周期内负主要责任的交通事故总起数小于5起，累计</w:t>
      </w:r>
      <w:r>
        <w:rPr>
          <w:rFonts w:hint="eastAsia" w:ascii="仿宋_GB2312" w:eastAsia="仿宋_GB2312"/>
          <w:color w:val="auto"/>
          <w:sz w:val="32"/>
          <w:szCs w:val="32"/>
        </w:rPr>
        <w:t>直接经济损失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小于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color w:val="auto"/>
          <w:sz w:val="32"/>
          <w:szCs w:val="32"/>
        </w:rPr>
        <w:t>0万元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且考核总分合计在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60</w:t>
      </w:r>
      <w:r>
        <w:rPr>
          <w:rFonts w:hint="eastAsia" w:ascii="仿宋_GB2312" w:eastAsia="仿宋_GB2312"/>
          <w:color w:val="auto"/>
          <w:sz w:val="32"/>
          <w:szCs w:val="32"/>
        </w:rPr>
        <w:t>分至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65</w:t>
      </w:r>
      <w:r>
        <w:rPr>
          <w:rFonts w:hint="eastAsia" w:ascii="仿宋_GB2312" w:eastAsia="仿宋_GB2312"/>
          <w:color w:val="auto"/>
          <w:sz w:val="32"/>
          <w:szCs w:val="32"/>
        </w:rPr>
        <w:t>分之间的</w:t>
      </w:r>
      <w:r>
        <w:rPr>
          <w:rFonts w:ascii="仿宋_GB2312" w:eastAsia="仿宋_GB2312"/>
          <w:color w:val="auto"/>
          <w:sz w:val="32"/>
          <w:szCs w:val="32"/>
        </w:rPr>
        <w:t>(</w:t>
      </w:r>
      <w:r>
        <w:rPr>
          <w:rFonts w:hint="eastAsia" w:ascii="仿宋_GB2312" w:eastAsia="仿宋_GB2312"/>
          <w:color w:val="auto"/>
          <w:sz w:val="32"/>
          <w:szCs w:val="32"/>
        </w:rPr>
        <w:t>不含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65</w:t>
      </w:r>
      <w:r>
        <w:rPr>
          <w:rFonts w:hint="eastAsia" w:ascii="仿宋_GB2312" w:eastAsia="仿宋_GB2312"/>
          <w:color w:val="auto"/>
          <w:sz w:val="32"/>
          <w:szCs w:val="32"/>
        </w:rPr>
        <w:t>分</w:t>
      </w:r>
      <w:r>
        <w:rPr>
          <w:rFonts w:ascii="仿宋_GB2312" w:eastAsia="仿宋_GB2312"/>
          <w:color w:val="auto"/>
          <w:sz w:val="32"/>
          <w:szCs w:val="32"/>
        </w:rPr>
        <w:t>)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且计分周期内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未发生因运输介质泄露而引起的环境污染事件；</w:t>
      </w:r>
      <w:r>
        <w:rPr>
          <w:rFonts w:hint="eastAsia" w:ascii="仿宋_GB2312" w:eastAsia="仿宋_GB2312"/>
          <w:color w:val="auto"/>
          <w:sz w:val="32"/>
          <w:szCs w:val="32"/>
        </w:rPr>
        <w:t>查实运输与电子运单不符的货物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color w:val="auto"/>
          <w:sz w:val="32"/>
          <w:szCs w:val="32"/>
        </w:rPr>
        <w:t>行为大于3起小于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color w:val="auto"/>
          <w:sz w:val="32"/>
          <w:szCs w:val="32"/>
        </w:rPr>
        <w:t>起的（含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color w:val="auto"/>
          <w:sz w:val="32"/>
          <w:szCs w:val="32"/>
        </w:rPr>
        <w:t>起）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无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伪造、篡改、删除车辆动态监控数据、恶意屏蔽卫星定位装置信号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的行为，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安全生产标准化达标或者到期及时复评的，</w:t>
      </w:r>
      <w:r>
        <w:rPr>
          <w:rFonts w:hint="eastAsia" w:ascii="仿宋_GB2312" w:eastAsia="仿宋_GB2312"/>
          <w:color w:val="auto"/>
          <w:sz w:val="32"/>
          <w:szCs w:val="32"/>
        </w:rPr>
        <w:t>考核等级为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C</w:t>
      </w:r>
      <w:r>
        <w:rPr>
          <w:rFonts w:hint="eastAsia" w:ascii="仿宋_GB2312" w:eastAsia="仿宋_GB2312"/>
          <w:color w:val="auto"/>
          <w:sz w:val="32"/>
          <w:szCs w:val="32"/>
        </w:rPr>
        <w:t>级；</w:t>
      </w:r>
      <w:r>
        <w:rPr>
          <w:rFonts w:ascii="仿宋_GB2312" w:eastAsia="仿宋_GB2312"/>
          <w:color w:val="auto"/>
          <w:sz w:val="32"/>
          <w:szCs w:val="32"/>
        </w:rPr>
        <w:t xml:space="preserve"> </w:t>
      </w:r>
    </w:p>
    <w:p>
      <w:pPr>
        <w:spacing w:after="0" w:line="600" w:lineRule="exact"/>
        <w:ind w:firstLine="640" w:firstLineChars="20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color w:val="auto"/>
          <w:sz w:val="32"/>
          <w:szCs w:val="32"/>
        </w:rPr>
        <w:t>）信用计分考核周期内有下列情形之一的，信用考核等级为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D</w:t>
      </w:r>
      <w:r>
        <w:rPr>
          <w:rFonts w:hint="eastAsia" w:ascii="仿宋_GB2312" w:eastAsia="仿宋_GB2312"/>
          <w:color w:val="auto"/>
          <w:sz w:val="32"/>
          <w:szCs w:val="32"/>
        </w:rPr>
        <w:t>级：</w:t>
      </w:r>
    </w:p>
    <w:p>
      <w:pPr>
        <w:spacing w:after="0" w:line="600" w:lineRule="exact"/>
        <w:ind w:firstLine="640" w:firstLineChars="20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1.</w:t>
      </w:r>
      <w:r>
        <w:rPr>
          <w:rFonts w:hint="eastAsia" w:ascii="仿宋_GB2312" w:eastAsia="仿宋_GB2312"/>
          <w:color w:val="auto"/>
          <w:sz w:val="32"/>
          <w:szCs w:val="32"/>
        </w:rPr>
        <w:t>发生发生一次死亡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超过2</w:t>
      </w:r>
      <w:r>
        <w:rPr>
          <w:rFonts w:hint="eastAsia" w:ascii="仿宋_GB2312" w:eastAsia="仿宋_GB2312"/>
          <w:color w:val="auto"/>
          <w:sz w:val="32"/>
          <w:szCs w:val="32"/>
        </w:rPr>
        <w:t>人以上的交通责任事故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或近两年内累计亡人交通事故超过2起（亡人超过2人）</w:t>
      </w:r>
      <w:r>
        <w:rPr>
          <w:rFonts w:hint="eastAsia" w:ascii="仿宋_GB2312" w:eastAsia="仿宋_GB2312"/>
          <w:color w:val="auto"/>
          <w:sz w:val="32"/>
          <w:szCs w:val="32"/>
        </w:rPr>
        <w:t>的；</w:t>
      </w:r>
    </w:p>
    <w:p>
      <w:pPr>
        <w:spacing w:after="0" w:line="600" w:lineRule="exact"/>
        <w:ind w:firstLine="640" w:firstLineChars="20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2.发生一次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500万元</w:t>
      </w:r>
      <w:r>
        <w:rPr>
          <w:rFonts w:hint="eastAsia" w:ascii="仿宋_GB2312" w:eastAsia="仿宋_GB2312"/>
          <w:color w:val="auto"/>
          <w:sz w:val="32"/>
          <w:szCs w:val="32"/>
        </w:rPr>
        <w:t>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上</w:t>
      </w:r>
      <w:r>
        <w:rPr>
          <w:rFonts w:hint="eastAsia" w:ascii="仿宋_GB2312" w:eastAsia="仿宋_GB2312"/>
          <w:color w:val="auto"/>
          <w:sz w:val="32"/>
          <w:szCs w:val="32"/>
        </w:rPr>
        <w:t>直接经济损失的事故；</w:t>
      </w:r>
      <w:r>
        <w:rPr>
          <w:rFonts w:ascii="仿宋_GB2312" w:eastAsia="仿宋_GB2312"/>
          <w:color w:val="auto"/>
          <w:sz w:val="32"/>
          <w:szCs w:val="32"/>
        </w:rPr>
        <w:t xml:space="preserve"> </w:t>
      </w:r>
    </w:p>
    <w:p>
      <w:pPr>
        <w:spacing w:after="0" w:line="60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3</w:t>
      </w:r>
      <w:r>
        <w:rPr>
          <w:rFonts w:ascii="仿宋_GB2312" w:eastAsia="仿宋_GB2312"/>
          <w:color w:val="auto"/>
          <w:sz w:val="32"/>
          <w:szCs w:val="32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考核总分低于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60</w:t>
      </w:r>
      <w:r>
        <w:rPr>
          <w:rFonts w:hint="eastAsia" w:ascii="仿宋_GB2312" w:eastAsia="仿宋_GB2312"/>
          <w:color w:val="auto"/>
          <w:sz w:val="32"/>
          <w:szCs w:val="32"/>
        </w:rPr>
        <w:t>分或本周期考核总分合计高于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60</w:t>
      </w:r>
      <w:r>
        <w:rPr>
          <w:rFonts w:hint="eastAsia" w:ascii="仿宋_GB2312" w:eastAsia="仿宋_GB2312"/>
          <w:color w:val="auto"/>
          <w:sz w:val="32"/>
          <w:szCs w:val="32"/>
        </w:rPr>
        <w:t>分，但连续两个周期内（含本周期）诚信考核等级均为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C</w:t>
      </w:r>
      <w:r>
        <w:rPr>
          <w:rFonts w:hint="eastAsia" w:ascii="仿宋_GB2312" w:eastAsia="仿宋_GB2312"/>
          <w:color w:val="auto"/>
          <w:sz w:val="32"/>
          <w:szCs w:val="32"/>
        </w:rPr>
        <w:t>级的；</w:t>
      </w:r>
    </w:p>
    <w:p>
      <w:pPr>
        <w:spacing w:after="0" w:line="600" w:lineRule="exact"/>
        <w:ind w:firstLine="640" w:firstLineChars="200"/>
        <w:jc w:val="both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4.发生因运输介质泄露而引起的环境污染事件；</w:t>
      </w:r>
    </w:p>
    <w:p>
      <w:pPr>
        <w:spacing w:after="0" w:line="60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ascii="仿宋_GB2312" w:eastAsia="仿宋_GB2312"/>
          <w:color w:val="auto"/>
          <w:sz w:val="32"/>
          <w:szCs w:val="32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在信用考核过程中弄虚作假、隐瞒实情或提供虚假材料，情节严重的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;</w:t>
      </w:r>
    </w:p>
    <w:p>
      <w:pPr>
        <w:spacing w:after="0" w:line="60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伪造、篡改、删除车辆动态监控数据、恶意屏蔽卫星定位装置信号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的行为;</w:t>
      </w:r>
    </w:p>
    <w:p>
      <w:pPr>
        <w:spacing w:after="0" w:line="60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安全生产标准化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未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达标或者到期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未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及时复评的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spacing w:after="0" w:line="600" w:lineRule="exact"/>
        <w:ind w:firstLine="640" w:firstLineChars="20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第八条</w:t>
      </w:r>
      <w:r>
        <w:rPr>
          <w:rFonts w:ascii="仿宋_GB2312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危险货物道路</w:t>
      </w:r>
      <w:r>
        <w:rPr>
          <w:rFonts w:hint="eastAsia" w:ascii="仿宋_GB2312" w:eastAsia="仿宋_GB2312"/>
          <w:color w:val="auto"/>
          <w:sz w:val="32"/>
          <w:szCs w:val="32"/>
        </w:rPr>
        <w:t>运输企业信用考核每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color w:val="auto"/>
          <w:sz w:val="32"/>
          <w:szCs w:val="32"/>
        </w:rPr>
        <w:t>年为一个考核周期；信用考核工作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一般安排在次年的3月份进行，并且3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底前完成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spacing w:after="0" w:line="600" w:lineRule="exact"/>
        <w:ind w:firstLine="640" w:firstLineChars="20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第九条</w:t>
      </w:r>
      <w:r>
        <w:rPr>
          <w:rFonts w:ascii="仿宋_GB2312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区县交通运输主管部门负责辖区内的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危险货物道路</w:t>
      </w:r>
      <w:r>
        <w:rPr>
          <w:rFonts w:hint="eastAsia" w:ascii="仿宋_GB2312" w:eastAsia="仿宋_GB2312"/>
          <w:color w:val="auto"/>
          <w:sz w:val="32"/>
          <w:szCs w:val="32"/>
        </w:rPr>
        <w:t>运输企业信用考核计分初评，初评结果应在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每年3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ascii="仿宋_GB2312" w:eastAsia="仿宋_GB2312"/>
          <w:color w:val="auto"/>
          <w:sz w:val="32"/>
          <w:szCs w:val="32"/>
        </w:rPr>
        <w:t>20</w:t>
      </w:r>
      <w:r>
        <w:rPr>
          <w:rFonts w:hint="eastAsia" w:ascii="仿宋_GB2312" w:eastAsia="仿宋_GB2312"/>
          <w:color w:val="auto"/>
          <w:sz w:val="32"/>
          <w:szCs w:val="32"/>
        </w:rPr>
        <w:t>日前上报至市交通运输局；市交通运输局统一安排时间组织复核。</w:t>
      </w:r>
    </w:p>
    <w:p>
      <w:pPr>
        <w:spacing w:after="0" w:line="600" w:lineRule="exact"/>
        <w:ind w:firstLine="640" w:firstLineChars="200"/>
        <w:jc w:val="both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第十条</w:t>
      </w:r>
      <w:r>
        <w:rPr>
          <w:rFonts w:ascii="黑体" w:hAnsi="黑体" w:eastAsia="黑体"/>
          <w:color w:val="auto"/>
          <w:sz w:val="32"/>
          <w:szCs w:val="32"/>
        </w:rPr>
        <w:t xml:space="preserve"> </w:t>
      </w:r>
      <w:r>
        <w:rPr>
          <w:rFonts w:ascii="仿宋_GB2312" w:hAnsi="黑体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信用考核结束后，黄山市交通运输局将考核情况在本部门或政府网站进行公示。公示期为</w:t>
      </w:r>
      <w:r>
        <w:rPr>
          <w:rFonts w:ascii="仿宋_GB2312" w:hAnsi="黑体" w:eastAsia="仿宋_GB2312"/>
          <w:color w:val="auto"/>
          <w:sz w:val="32"/>
          <w:szCs w:val="32"/>
        </w:rPr>
        <w:t>10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个工作日。公示期内，对公示的信用等级结果有异议的，可向市交通运输局提出书面或电话申请（电话0559-2558970），市交通运输局收到书面或电话申请后，应在3个工作日内向通过企业预留方式进行反馈，并在10个工作日内予以复核。</w:t>
      </w:r>
    </w:p>
    <w:p>
      <w:pPr>
        <w:spacing w:after="0" w:line="600" w:lineRule="exact"/>
        <w:ind w:firstLine="640" w:firstLineChars="200"/>
        <w:jc w:val="both"/>
        <w:rPr>
          <w:rFonts w:ascii="仿宋_GB2312" w:eastAsia="仿宋_GB2312"/>
          <w:color w:val="auto"/>
          <w:sz w:val="32"/>
          <w:szCs w:val="32"/>
        </w:rPr>
      </w:pPr>
    </w:p>
    <w:p>
      <w:pPr>
        <w:spacing w:after="0" w:line="600" w:lineRule="exact"/>
        <w:jc w:val="center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第三章</w:t>
      </w:r>
      <w:r>
        <w:rPr>
          <w:rFonts w:ascii="黑体" w:hAnsi="黑体" w:eastAsia="黑体"/>
          <w:color w:val="auto"/>
          <w:sz w:val="32"/>
          <w:szCs w:val="32"/>
        </w:rPr>
        <w:t xml:space="preserve">  </w:t>
      </w:r>
      <w:r>
        <w:rPr>
          <w:rFonts w:hint="eastAsia" w:ascii="黑体" w:hAnsi="黑体" w:eastAsia="黑体"/>
          <w:color w:val="auto"/>
          <w:sz w:val="32"/>
          <w:szCs w:val="32"/>
        </w:rPr>
        <w:t>守信激励与失信惩戒</w:t>
      </w:r>
    </w:p>
    <w:p>
      <w:pPr>
        <w:spacing w:after="0" w:line="600" w:lineRule="exact"/>
        <w:ind w:firstLine="640" w:firstLineChars="20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第十一条</w:t>
      </w:r>
      <w:r>
        <w:rPr>
          <w:rFonts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各级交通运输主管部门应根据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危险货物道路</w:t>
      </w:r>
      <w:r>
        <w:rPr>
          <w:rFonts w:hint="eastAsia" w:ascii="仿宋_GB2312" w:eastAsia="仿宋_GB2312"/>
          <w:color w:val="auto"/>
          <w:sz w:val="32"/>
          <w:szCs w:val="32"/>
        </w:rPr>
        <w:t>运输企业信用考核评级情况，将不同等级企业信用分类监管工作纳入本部门依法行政、年度目标考核的重点内容之一。</w:t>
      </w:r>
    </w:p>
    <w:p>
      <w:pPr>
        <w:spacing w:after="0" w:line="600" w:lineRule="exact"/>
        <w:ind w:firstLine="640" w:firstLineChars="20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第十二条</w:t>
      </w:r>
      <w:r>
        <w:rPr>
          <w:rFonts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对信用考核等级为优良（</w:t>
      </w:r>
      <w:r>
        <w:rPr>
          <w:rFonts w:ascii="仿宋_GB2312" w:eastAsia="仿宋_GB2312"/>
          <w:color w:val="auto"/>
          <w:sz w:val="32"/>
          <w:szCs w:val="32"/>
        </w:rPr>
        <w:t>AA</w:t>
      </w:r>
      <w:r>
        <w:rPr>
          <w:rFonts w:hint="eastAsia" w:ascii="仿宋_GB2312" w:eastAsia="仿宋_GB2312"/>
          <w:color w:val="auto"/>
          <w:sz w:val="32"/>
          <w:szCs w:val="32"/>
        </w:rPr>
        <w:t>级）的企业主体，坚持自律为主、监管为辅的原则，在考核有效期内，享受以下激励措施：</w:t>
      </w:r>
    </w:p>
    <w:p>
      <w:pPr>
        <w:spacing w:after="0" w:line="60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在企业申请办理</w:t>
      </w:r>
      <w:r>
        <w:rPr>
          <w:rFonts w:hint="eastAsia" w:ascii="仿宋_GB2312" w:eastAsia="仿宋_GB2312"/>
          <w:color w:val="auto"/>
          <w:sz w:val="32"/>
          <w:szCs w:val="32"/>
        </w:rPr>
        <w:t>新增运力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扩大经营范围等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事项过程中享受“绿色通道”、“容缺受理”等便利服务，在下一考核周期内可优先申请增加运力；</w:t>
      </w:r>
    </w:p>
    <w:p>
      <w:pPr>
        <w:spacing w:after="0" w:line="60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（二）除有因检查外，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减少</w:t>
      </w:r>
      <w:r>
        <w:rPr>
          <w:rFonts w:hint="eastAsia" w:ascii="仿宋_GB2312" w:eastAsia="仿宋_GB2312"/>
          <w:color w:val="auto"/>
          <w:sz w:val="32"/>
          <w:szCs w:val="32"/>
        </w:rPr>
        <w:t>日常监督检查和监督抽检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频次</w:t>
      </w:r>
      <w:r>
        <w:rPr>
          <w:rFonts w:hint="eastAsia" w:ascii="仿宋_GB2312" w:eastAsia="仿宋_GB2312"/>
          <w:color w:val="auto"/>
          <w:sz w:val="32"/>
          <w:szCs w:val="32"/>
        </w:rPr>
        <w:t>；</w:t>
      </w:r>
    </w:p>
    <w:p>
      <w:pPr>
        <w:spacing w:after="0" w:line="60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（三）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向危险化学品生产企业</w:t>
      </w:r>
      <w:r>
        <w:rPr>
          <w:rFonts w:hint="eastAsia" w:ascii="仿宋_GB2312" w:eastAsia="仿宋_GB2312"/>
          <w:color w:val="auto"/>
          <w:sz w:val="32"/>
          <w:szCs w:val="32"/>
        </w:rPr>
        <w:t>推荐优先选择承担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货物</w:t>
      </w:r>
      <w:r>
        <w:rPr>
          <w:rFonts w:hint="eastAsia" w:ascii="仿宋_GB2312" w:eastAsia="仿宋_GB2312"/>
          <w:color w:val="auto"/>
          <w:sz w:val="32"/>
          <w:szCs w:val="32"/>
        </w:rPr>
        <w:t>运输任务；</w:t>
      </w:r>
    </w:p>
    <w:p>
      <w:pPr>
        <w:spacing w:after="0" w:line="60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color w:val="auto"/>
          <w:sz w:val="32"/>
          <w:szCs w:val="32"/>
        </w:rPr>
        <w:t>）在开展招标投标和安排专项资金时，同等条件下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推荐</w:t>
      </w:r>
      <w:r>
        <w:rPr>
          <w:rFonts w:hint="eastAsia" w:ascii="仿宋_GB2312" w:eastAsia="仿宋_GB2312"/>
          <w:color w:val="auto"/>
          <w:sz w:val="32"/>
          <w:szCs w:val="32"/>
        </w:rPr>
        <w:t>为优先选择对象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</w:t>
      </w:r>
    </w:p>
    <w:p>
      <w:pPr>
        <w:spacing w:after="0" w:line="60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（五）在“信易行”、“信易贷”等“信易+</w:t>
      </w:r>
      <w:r>
        <w:rPr>
          <w:rFonts w:ascii="仿宋_GB2312" w:eastAsia="仿宋_GB2312"/>
          <w:color w:val="auto"/>
          <w:sz w:val="32"/>
          <w:szCs w:val="32"/>
        </w:rPr>
        <w:t>”</w:t>
      </w:r>
      <w:r>
        <w:rPr>
          <w:rFonts w:hint="eastAsia" w:ascii="仿宋_GB2312" w:eastAsia="仿宋_GB2312"/>
          <w:color w:val="auto"/>
          <w:sz w:val="32"/>
          <w:szCs w:val="32"/>
        </w:rPr>
        <w:t>奖励政策时优先考虑、优先推荐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</w:t>
      </w:r>
    </w:p>
    <w:p>
      <w:pPr>
        <w:spacing w:after="0" w:line="600" w:lineRule="exact"/>
        <w:ind w:firstLine="640" w:firstLineChars="20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color w:val="auto"/>
          <w:sz w:val="32"/>
          <w:szCs w:val="32"/>
        </w:rPr>
        <w:t>）其他鼓励性措施。</w:t>
      </w:r>
    </w:p>
    <w:p>
      <w:pPr>
        <w:spacing w:after="0" w:line="600" w:lineRule="exact"/>
        <w:ind w:firstLine="640" w:firstLineChars="20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第十三条</w:t>
      </w:r>
      <w:r>
        <w:rPr>
          <w:rFonts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对信用考核等级为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良好</w:t>
      </w: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ascii="仿宋_GB2312" w:eastAsia="仿宋_GB2312"/>
          <w:color w:val="auto"/>
          <w:sz w:val="32"/>
          <w:szCs w:val="32"/>
        </w:rPr>
        <w:t>A</w:t>
      </w:r>
      <w:r>
        <w:rPr>
          <w:rFonts w:hint="eastAsia" w:ascii="仿宋_GB2312" w:eastAsia="仿宋_GB2312"/>
          <w:color w:val="auto"/>
          <w:sz w:val="32"/>
          <w:szCs w:val="32"/>
        </w:rPr>
        <w:t>级）的企业主体，坚持自律为主、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适度</w:t>
      </w:r>
      <w:r>
        <w:rPr>
          <w:rFonts w:hint="eastAsia" w:ascii="仿宋_GB2312" w:eastAsia="仿宋_GB2312"/>
          <w:color w:val="auto"/>
          <w:sz w:val="32"/>
          <w:szCs w:val="32"/>
        </w:rPr>
        <w:t>监管的原则，在考核等级有效期内，享受以下激励措施：</w:t>
      </w:r>
    </w:p>
    <w:p>
      <w:pPr>
        <w:spacing w:after="0" w:line="60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在企业申请办理</w:t>
      </w:r>
      <w:r>
        <w:rPr>
          <w:rFonts w:hint="eastAsia" w:ascii="仿宋_GB2312" w:eastAsia="仿宋_GB2312"/>
          <w:color w:val="auto"/>
          <w:sz w:val="32"/>
          <w:szCs w:val="32"/>
        </w:rPr>
        <w:t>新增运力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扩大经营范围等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等事项过程中享受“绿色通道”、“容缺受理”等便利服务，在下一考核周期内可申请增加运力；</w:t>
      </w:r>
    </w:p>
    <w:p>
      <w:pPr>
        <w:spacing w:after="0" w:line="60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color w:val="auto"/>
          <w:sz w:val="32"/>
          <w:szCs w:val="32"/>
        </w:rPr>
        <w:t>）除有因检查外，降低日常监督检查频次，减少监督抽检批次；</w:t>
      </w:r>
    </w:p>
    <w:p>
      <w:pPr>
        <w:spacing w:after="0" w:line="60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color w:val="auto"/>
          <w:sz w:val="32"/>
          <w:szCs w:val="32"/>
        </w:rPr>
        <w:t>）引导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危险化学品生产企业</w:t>
      </w:r>
      <w:r>
        <w:rPr>
          <w:rFonts w:hint="eastAsia" w:ascii="仿宋_GB2312" w:eastAsia="仿宋_GB2312"/>
          <w:color w:val="auto"/>
          <w:sz w:val="32"/>
          <w:szCs w:val="32"/>
        </w:rPr>
        <w:t>选择承担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货物</w:t>
      </w:r>
      <w:r>
        <w:rPr>
          <w:rFonts w:hint="eastAsia" w:ascii="仿宋_GB2312" w:eastAsia="仿宋_GB2312"/>
          <w:color w:val="auto"/>
          <w:sz w:val="32"/>
          <w:szCs w:val="32"/>
        </w:rPr>
        <w:t>运输任务；</w:t>
      </w:r>
    </w:p>
    <w:p>
      <w:pPr>
        <w:spacing w:after="0" w:line="60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color w:val="auto"/>
          <w:sz w:val="32"/>
          <w:szCs w:val="32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在“信易行”、“信易贷”等“信易+</w:t>
      </w:r>
      <w:r>
        <w:rPr>
          <w:rFonts w:ascii="仿宋_GB2312" w:eastAsia="仿宋_GB2312"/>
          <w:color w:val="auto"/>
          <w:sz w:val="32"/>
          <w:szCs w:val="32"/>
        </w:rPr>
        <w:t>”</w:t>
      </w:r>
      <w:r>
        <w:rPr>
          <w:rFonts w:hint="eastAsia" w:ascii="仿宋_GB2312" w:eastAsia="仿宋_GB2312"/>
          <w:color w:val="auto"/>
          <w:sz w:val="32"/>
          <w:szCs w:val="32"/>
        </w:rPr>
        <w:t>奖励政策时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推荐</w:t>
      </w:r>
      <w:r>
        <w:rPr>
          <w:rFonts w:hint="eastAsia" w:ascii="仿宋_GB2312" w:eastAsia="仿宋_GB2312"/>
          <w:color w:val="auto"/>
          <w:sz w:val="32"/>
          <w:szCs w:val="32"/>
        </w:rPr>
        <w:t>为考虑对象。</w:t>
      </w:r>
    </w:p>
    <w:p>
      <w:pPr>
        <w:spacing w:after="0" w:line="60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（五）其他鼓励性措施。</w:t>
      </w:r>
    </w:p>
    <w:p>
      <w:pPr>
        <w:spacing w:after="0" w:line="600" w:lineRule="exact"/>
        <w:ind w:firstLine="640" w:firstLineChars="20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第十四条</w:t>
      </w:r>
      <w:r>
        <w:rPr>
          <w:rFonts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对信用考核等级为合格（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B</w:t>
      </w:r>
      <w:r>
        <w:rPr>
          <w:rFonts w:hint="eastAsia" w:ascii="仿宋_GB2312" w:eastAsia="仿宋_GB2312"/>
          <w:color w:val="auto"/>
          <w:sz w:val="32"/>
          <w:szCs w:val="32"/>
        </w:rPr>
        <w:t>级）的企业主体，坚持自律和监管相结合原则，在考核等级有效期内，县级以上交通运输主管部门应采取以下措施：</w:t>
      </w:r>
    </w:p>
    <w:p>
      <w:pPr>
        <w:spacing w:after="0" w:line="600" w:lineRule="exact"/>
        <w:ind w:firstLine="640" w:firstLineChars="20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</w:t>
      </w:r>
      <w:r>
        <w:rPr>
          <w:rFonts w:hint="eastAsia" w:ascii="仿宋_GB2312" w:eastAsia="仿宋_GB2312"/>
          <w:color w:val="auto"/>
          <w:sz w:val="32"/>
          <w:szCs w:val="32"/>
        </w:rPr>
        <w:t>下一考核周期内，暂缓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受理</w:t>
      </w:r>
      <w:r>
        <w:rPr>
          <w:rFonts w:hint="eastAsia" w:ascii="仿宋_GB2312" w:eastAsia="仿宋_GB2312"/>
          <w:color w:val="auto"/>
          <w:sz w:val="32"/>
          <w:szCs w:val="32"/>
        </w:rPr>
        <w:t>企业新增运力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扩大经营范围等事项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；         </w:t>
      </w:r>
    </w:p>
    <w:p>
      <w:pPr>
        <w:spacing w:after="0" w:line="600" w:lineRule="exact"/>
        <w:ind w:firstLine="640" w:firstLineChars="20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（二）督促、指导企业完善机构设置，落实各项安全生产制度，对不规范经营行为立即整改。</w:t>
      </w:r>
    </w:p>
    <w:p>
      <w:pPr>
        <w:spacing w:after="0" w:line="60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（三）下一周期内双随机抽查比例调整为50%；保持正常的检查频率。</w:t>
      </w:r>
    </w:p>
    <w:p>
      <w:pPr>
        <w:spacing w:after="0" w:line="60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（四）</w:t>
      </w:r>
      <w:r>
        <w:rPr>
          <w:rFonts w:hint="eastAsia" w:ascii="仿宋_GB2312" w:eastAsia="仿宋_GB2312"/>
          <w:color w:val="auto"/>
          <w:sz w:val="32"/>
          <w:szCs w:val="32"/>
        </w:rPr>
        <w:t>提高对企业车辆运营轨迹及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电子运单</w:t>
      </w:r>
      <w:r>
        <w:rPr>
          <w:rFonts w:hint="default" w:ascii="仿宋_GB2312" w:eastAsia="仿宋_GB2312"/>
          <w:color w:val="auto"/>
          <w:sz w:val="32"/>
          <w:szCs w:val="32"/>
          <w:lang w:eastAsia="zh-CN"/>
        </w:rPr>
        <w:t>使用情况的监管</w:t>
      </w:r>
      <w:r>
        <w:rPr>
          <w:rFonts w:hint="eastAsia" w:ascii="仿宋_GB2312" w:eastAsia="仿宋_GB2312"/>
          <w:color w:val="auto"/>
          <w:sz w:val="32"/>
          <w:szCs w:val="32"/>
        </w:rPr>
        <w:t>，每月抽查不低于企业实有车辆数30%</w:t>
      </w:r>
      <w:r>
        <w:rPr>
          <w:rFonts w:hint="eastAsia" w:ascii="仿宋_GB2312" w:eastAsia="仿宋_GB2312"/>
          <w:color w:val="auto"/>
          <w:sz w:val="32"/>
          <w:szCs w:val="32"/>
        </w:rPr>
        <w:t>；</w:t>
      </w:r>
    </w:p>
    <w:p>
      <w:pPr>
        <w:spacing w:after="0" w:line="600" w:lineRule="exact"/>
        <w:ind w:firstLine="640" w:firstLineChars="20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（五）上一周期企业信用考核等级为B级以下（含B级）的，第二个周期内企业经营许可证到期需办理</w:t>
      </w:r>
      <w:r>
        <w:rPr>
          <w:rFonts w:hint="eastAsia" w:ascii="仿宋_GB2312" w:eastAsia="仿宋_GB2312"/>
          <w:color w:val="auto"/>
          <w:sz w:val="32"/>
          <w:szCs w:val="32"/>
        </w:rPr>
        <w:t>道路运输经营许可证</w:t>
      </w:r>
      <w:r>
        <w:rPr>
          <w:rFonts w:hint="eastAsia" w:ascii="仿宋_GB2312" w:eastAsia="仿宋_GB2312"/>
          <w:color w:val="auto"/>
          <w:sz w:val="32"/>
          <w:szCs w:val="32"/>
        </w:rPr>
        <w:t>换证业务的，需根据原许可机关及辖区主管部门对企业经营资质、不规范经营行为整改落实情况复核后予以办理。</w:t>
      </w:r>
    </w:p>
    <w:p>
      <w:pPr>
        <w:spacing w:after="0" w:line="60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第十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color w:val="auto"/>
          <w:sz w:val="32"/>
          <w:szCs w:val="32"/>
        </w:rPr>
        <w:t>条</w:t>
      </w:r>
      <w:r>
        <w:rPr>
          <w:rFonts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对信用考核等级为基本合格（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C</w:t>
      </w:r>
      <w:r>
        <w:rPr>
          <w:rFonts w:hint="eastAsia" w:ascii="仿宋_GB2312" w:eastAsia="仿宋_GB2312"/>
          <w:color w:val="auto"/>
          <w:sz w:val="32"/>
          <w:szCs w:val="32"/>
        </w:rPr>
        <w:t>级）的企业主体，坚持自律和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适度加强</w:t>
      </w:r>
      <w:r>
        <w:rPr>
          <w:rFonts w:hint="eastAsia" w:ascii="仿宋_GB2312" w:eastAsia="仿宋_GB2312"/>
          <w:color w:val="auto"/>
          <w:sz w:val="32"/>
          <w:szCs w:val="32"/>
        </w:rPr>
        <w:t>监管相结合原则，在考核等级有效期内，县级以上交通运输主管部门应采取以下措施：</w:t>
      </w:r>
    </w:p>
    <w:p>
      <w:pPr>
        <w:spacing w:after="0" w:line="600" w:lineRule="exact"/>
        <w:ind w:firstLine="640" w:firstLineChars="20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（一）下一考核周期内，暂缓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受理</w:t>
      </w:r>
      <w:r>
        <w:rPr>
          <w:rFonts w:hint="eastAsia" w:ascii="仿宋_GB2312" w:eastAsia="仿宋_GB2312"/>
          <w:color w:val="auto"/>
          <w:sz w:val="32"/>
          <w:szCs w:val="32"/>
        </w:rPr>
        <w:t>企业新增运力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扩大经营范围等事项</w:t>
      </w:r>
      <w:r>
        <w:rPr>
          <w:rFonts w:hint="eastAsia" w:ascii="仿宋_GB2312" w:eastAsia="仿宋_GB2312"/>
          <w:color w:val="auto"/>
          <w:sz w:val="32"/>
          <w:szCs w:val="32"/>
        </w:rPr>
        <w:t>；</w:t>
      </w:r>
    </w:p>
    <w:p>
      <w:pPr>
        <w:spacing w:after="0" w:line="60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（二）</w:t>
      </w:r>
      <w:r>
        <w:rPr>
          <w:rFonts w:hint="eastAsia" w:ascii="仿宋_GB2312" w:eastAsia="仿宋_GB2312"/>
          <w:color w:val="auto"/>
          <w:sz w:val="32"/>
          <w:szCs w:val="32"/>
        </w:rPr>
        <w:t>督促、指导企业完善机构设置，落实各项安全生产制度，配合交通运输执法部门对违法违规行为进行处理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</w:t>
      </w:r>
    </w:p>
    <w:p>
      <w:pPr>
        <w:spacing w:after="0" w:line="60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（三）</w:t>
      </w:r>
      <w:r>
        <w:rPr>
          <w:rFonts w:hint="eastAsia" w:ascii="仿宋_GB2312" w:eastAsia="仿宋_GB2312"/>
          <w:color w:val="auto"/>
          <w:sz w:val="32"/>
          <w:szCs w:val="32"/>
        </w:rPr>
        <w:t>作为日常监督检查或者抽查的重点，</w:t>
      </w:r>
      <w:r>
        <w:rPr>
          <w:rFonts w:hint="eastAsia" w:ascii="仿宋_GB2312" w:eastAsia="仿宋_GB2312"/>
          <w:color w:val="auto"/>
          <w:sz w:val="32"/>
          <w:szCs w:val="32"/>
        </w:rPr>
        <w:t>下一周期内双随机抽查比例调整为70%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</w:t>
      </w:r>
    </w:p>
    <w:p>
      <w:pPr>
        <w:spacing w:after="0" w:line="60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（四）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提高</w:t>
      </w:r>
      <w:r>
        <w:rPr>
          <w:rFonts w:hint="eastAsia" w:ascii="仿宋_GB2312" w:eastAsia="仿宋_GB2312"/>
          <w:color w:val="auto"/>
          <w:sz w:val="32"/>
          <w:szCs w:val="32"/>
        </w:rPr>
        <w:t>对企业车辆运营轨迹及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电子运单</w:t>
      </w:r>
      <w:r>
        <w:rPr>
          <w:rFonts w:hint="default" w:ascii="仿宋_GB2312" w:eastAsia="仿宋_GB2312"/>
          <w:color w:val="auto"/>
          <w:sz w:val="32"/>
          <w:szCs w:val="32"/>
          <w:lang w:eastAsia="zh-CN"/>
        </w:rPr>
        <w:t>使用情况的监管</w:t>
      </w:r>
      <w:r>
        <w:rPr>
          <w:rFonts w:hint="eastAsia" w:ascii="仿宋_GB2312" w:eastAsia="仿宋_GB2312"/>
          <w:color w:val="auto"/>
          <w:sz w:val="32"/>
          <w:szCs w:val="32"/>
        </w:rPr>
        <w:t>，每月抽查不低于企业实有车辆数50%。</w:t>
      </w:r>
    </w:p>
    <w:p>
      <w:pPr>
        <w:spacing w:after="0" w:line="60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第十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color w:val="auto"/>
          <w:sz w:val="32"/>
          <w:szCs w:val="32"/>
        </w:rPr>
        <w:t>条</w:t>
      </w:r>
      <w:r>
        <w:rPr>
          <w:rFonts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对信用考核等级为不合格（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D</w:t>
      </w:r>
      <w:r>
        <w:rPr>
          <w:rFonts w:hint="eastAsia" w:ascii="仿宋_GB2312" w:eastAsia="仿宋_GB2312"/>
          <w:color w:val="auto"/>
          <w:sz w:val="32"/>
          <w:szCs w:val="32"/>
        </w:rPr>
        <w:t>级）的企业主体，坚持强化监管原则，在考核等级有效期内，县级以上交通运输主管部门要采取以下措施：</w:t>
      </w:r>
    </w:p>
    <w:p>
      <w:pPr>
        <w:spacing w:after="0" w:line="600" w:lineRule="exact"/>
        <w:ind w:firstLine="640" w:firstLineChars="20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（一）责令企业立即停业整改。</w:t>
      </w:r>
      <w:r>
        <w:rPr>
          <w:rFonts w:hint="eastAsia" w:ascii="仿宋_GB2312" w:eastAsia="仿宋_GB2312"/>
          <w:color w:val="auto"/>
          <w:sz w:val="32"/>
          <w:szCs w:val="32"/>
        </w:rPr>
        <w:t>督促企业完善机构设置，落实各项安全生产制度，配合交通运输执法部门对违法违规行为进行处理；整改完成后，经属地交通运输主管部门验收通过可恢复营业。</w:t>
      </w:r>
    </w:p>
    <w:p>
      <w:pPr>
        <w:spacing w:after="0" w:line="600" w:lineRule="exact"/>
        <w:ind w:firstLine="640" w:firstLineChars="20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（二）</w:t>
      </w:r>
      <w:r>
        <w:rPr>
          <w:rFonts w:hint="eastAsia" w:ascii="仿宋_GB2312" w:eastAsia="仿宋_GB2312"/>
          <w:color w:val="auto"/>
          <w:sz w:val="32"/>
          <w:szCs w:val="32"/>
        </w:rPr>
        <w:t>定期或者不定期进行责任约谈或者突击检查；</w:t>
      </w:r>
      <w:r>
        <w:rPr>
          <w:rFonts w:hint="eastAsia" w:ascii="仿宋_GB2312" w:eastAsia="仿宋_GB2312"/>
          <w:color w:val="auto"/>
          <w:sz w:val="32"/>
          <w:szCs w:val="32"/>
        </w:rPr>
        <w:t>下一周期内双随机抽查比例调整为100%；</w:t>
      </w:r>
    </w:p>
    <w:p>
      <w:pPr>
        <w:spacing w:after="0" w:line="600" w:lineRule="exact"/>
        <w:ind w:firstLine="640" w:firstLineChars="20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（三）</w:t>
      </w:r>
      <w:r>
        <w:rPr>
          <w:rFonts w:hint="eastAsia" w:ascii="仿宋_GB2312" w:eastAsia="仿宋_GB2312"/>
          <w:color w:val="auto"/>
          <w:sz w:val="32"/>
          <w:szCs w:val="32"/>
        </w:rPr>
        <w:t>整改完成恢复营运的，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将其所属营运车辆</w:t>
      </w:r>
      <w:r>
        <w:rPr>
          <w:rFonts w:hint="eastAsia" w:ascii="仿宋_GB2312" w:eastAsia="仿宋_GB2312"/>
          <w:color w:val="auto"/>
          <w:sz w:val="32"/>
          <w:szCs w:val="32"/>
        </w:rPr>
        <w:t>列为重点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监管对象</w:t>
      </w:r>
      <w:r>
        <w:rPr>
          <w:rFonts w:hint="eastAsia" w:ascii="仿宋_GB2312" w:eastAsia="仿宋_GB2312"/>
          <w:color w:val="auto"/>
          <w:sz w:val="32"/>
          <w:szCs w:val="32"/>
        </w:rPr>
        <w:t>，每月抽查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其车辆的营运轨迹及电子运单比对</w:t>
      </w:r>
      <w:r>
        <w:rPr>
          <w:rFonts w:hint="eastAsia" w:ascii="仿宋_GB2312" w:eastAsia="仿宋_GB2312"/>
          <w:color w:val="auto"/>
          <w:sz w:val="32"/>
          <w:szCs w:val="32"/>
        </w:rPr>
        <w:t>不低于企业实有车辆数80%。</w:t>
      </w:r>
    </w:p>
    <w:p>
      <w:pPr>
        <w:spacing w:after="0" w:line="60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（四）法律、法规和规章规定的其他惩戒方式。</w:t>
      </w:r>
    </w:p>
    <w:p>
      <w:pPr>
        <w:spacing w:after="0" w:line="60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连续两个周期内企业信用考核等级均为差（D级）等级，经停产停业整改仍不具备安全生产条件的，由县级以上交通运输综合执法机构依法吊销相应许可。</w:t>
      </w:r>
    </w:p>
    <w:p>
      <w:pPr>
        <w:spacing w:after="0" w:line="60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after="0" w:line="600" w:lineRule="exact"/>
        <w:ind w:firstLine="3200" w:firstLineChars="100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第四章  信用修复</w:t>
      </w:r>
    </w:p>
    <w:p>
      <w:pPr>
        <w:spacing w:after="0" w:line="600" w:lineRule="exact"/>
        <w:ind w:firstLine="640" w:firstLineChars="200"/>
        <w:jc w:val="both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第十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color w:val="auto"/>
          <w:sz w:val="32"/>
          <w:szCs w:val="32"/>
        </w:rPr>
        <w:t>条</w:t>
      </w:r>
      <w:r>
        <w:rPr>
          <w:rFonts w:ascii="仿宋_GB2312" w:hAnsi="黑体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危险货物道路</w:t>
      </w:r>
      <w:r>
        <w:rPr>
          <w:rFonts w:hint="eastAsia" w:ascii="仿宋_GB2312" w:eastAsia="仿宋_GB2312"/>
          <w:color w:val="auto"/>
          <w:sz w:val="32"/>
          <w:szCs w:val="32"/>
        </w:rPr>
        <w:t>运输企业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信用等级实行动态管理。在信用等级有效期内，信息主体出现重大交通责任事故或重大违法违规行为的，应当根据信用分类评级要求，降到相应的信用等级。</w:t>
      </w:r>
    </w:p>
    <w:p>
      <w:pPr>
        <w:spacing w:after="0" w:line="60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第十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/>
          <w:color w:val="auto"/>
          <w:sz w:val="32"/>
          <w:szCs w:val="32"/>
        </w:rPr>
        <w:t>条</w:t>
      </w:r>
      <w:r>
        <w:rPr>
          <w:rFonts w:hint="eastAsia" w:ascii="仿宋_GB2312" w:hAnsi="黑体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每个考核周期给与A级及以下企业一次信用修复机会。周期内信用等级核定结果公示后60天至90天内，A级及以下等级企业已配合交通运输执法部门完成违法违规行为处理，完善企业安全生产各项制度的，可向属地交通运输局提出复查申请，符合修复条件的转报市交通运输局提请信用修复。市交通运输局统一复核，并将复核结果公示，公示无异议的，对企业信用等级予以调整。逾期未申请信用修复的不再受理。</w:t>
      </w:r>
    </w:p>
    <w:p>
      <w:pPr>
        <w:spacing w:line="600" w:lineRule="exact"/>
        <w:ind w:firstLine="566" w:firstLineChars="177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第十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/>
          <w:color w:val="auto"/>
          <w:sz w:val="32"/>
          <w:szCs w:val="32"/>
        </w:rPr>
        <w:t>条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信用等级动态调整及信用修复遵循“陡降缓升”原则。周期内信用修复仅可向上提升一个等级。</w:t>
      </w:r>
    </w:p>
    <w:p>
      <w:pPr>
        <w:spacing w:after="0" w:line="600" w:lineRule="exact"/>
        <w:jc w:val="both"/>
        <w:rPr>
          <w:rFonts w:ascii="仿宋_GB2312" w:eastAsia="仿宋_GB2312"/>
          <w:color w:val="auto"/>
          <w:sz w:val="32"/>
          <w:szCs w:val="32"/>
        </w:rPr>
      </w:pPr>
    </w:p>
    <w:p>
      <w:pPr>
        <w:spacing w:after="0" w:line="600" w:lineRule="exact"/>
        <w:ind w:firstLine="3200" w:firstLineChars="10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color w:val="auto"/>
          <w:sz w:val="32"/>
          <w:szCs w:val="32"/>
        </w:rPr>
        <w:t>章</w:t>
      </w:r>
      <w:r>
        <w:rPr>
          <w:rFonts w:ascii="黑体" w:hAnsi="黑体" w:eastAsia="黑体"/>
          <w:color w:val="auto"/>
          <w:sz w:val="32"/>
          <w:szCs w:val="32"/>
        </w:rPr>
        <w:t xml:space="preserve">  </w:t>
      </w:r>
      <w:r>
        <w:rPr>
          <w:rFonts w:hint="eastAsia" w:ascii="黑体" w:hAnsi="黑体" w:eastAsia="黑体"/>
          <w:color w:val="auto"/>
          <w:sz w:val="32"/>
          <w:szCs w:val="32"/>
        </w:rPr>
        <w:t>附则</w:t>
      </w:r>
    </w:p>
    <w:p>
      <w:pPr>
        <w:spacing w:after="0" w:line="600" w:lineRule="exact"/>
        <w:ind w:firstLine="640" w:firstLineChars="200"/>
        <w:jc w:val="both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color w:val="auto"/>
          <w:sz w:val="32"/>
          <w:szCs w:val="32"/>
        </w:rPr>
        <w:t>十条</w:t>
      </w:r>
      <w:r>
        <w:rPr>
          <w:rFonts w:ascii="仿宋_GB2312" w:hAnsi="黑体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各级各部门应建立联合监管机制，根据部门职能严格执行月抄告制度，将周期内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危险货物道路</w:t>
      </w:r>
      <w:r>
        <w:rPr>
          <w:rFonts w:hint="eastAsia" w:ascii="仿宋_GB2312" w:eastAsia="仿宋_GB2312"/>
          <w:color w:val="auto"/>
          <w:sz w:val="32"/>
          <w:szCs w:val="32"/>
        </w:rPr>
        <w:t>运输企业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日常检查、违法违规、服务质量投诉等情况抄告相关责任单位。责任单位应做好梳理、登记工作。</w:t>
      </w:r>
    </w:p>
    <w:p>
      <w:pPr>
        <w:spacing w:after="0" w:line="60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color w:val="auto"/>
          <w:sz w:val="32"/>
          <w:szCs w:val="32"/>
        </w:rPr>
        <w:t>十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color w:val="auto"/>
          <w:sz w:val="32"/>
          <w:szCs w:val="32"/>
        </w:rPr>
        <w:t>条</w:t>
      </w:r>
      <w:r>
        <w:rPr>
          <w:rFonts w:ascii="仿宋_GB2312" w:hAnsi="黑体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危险化学品生产企业</w:t>
      </w:r>
      <w:r>
        <w:rPr>
          <w:rFonts w:hint="eastAsia" w:ascii="仿宋_GB2312" w:eastAsia="仿宋_GB2312"/>
          <w:color w:val="auto"/>
          <w:sz w:val="32"/>
          <w:szCs w:val="32"/>
        </w:rPr>
        <w:t>违反本办法，选择周期内考评等级为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D</w:t>
      </w:r>
      <w:r>
        <w:rPr>
          <w:rFonts w:hint="eastAsia" w:ascii="仿宋_GB2312" w:eastAsia="仿宋_GB2312"/>
          <w:color w:val="auto"/>
          <w:sz w:val="32"/>
          <w:szCs w:val="32"/>
        </w:rPr>
        <w:t>级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且整改未通过验收的</w:t>
      </w:r>
      <w:r>
        <w:rPr>
          <w:rFonts w:hint="eastAsia" w:ascii="仿宋_GB2312" w:eastAsia="仿宋_GB2312"/>
          <w:color w:val="auto"/>
          <w:sz w:val="32"/>
          <w:szCs w:val="32"/>
        </w:rPr>
        <w:t>企业车辆，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报送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应急管理、市场监督管理</w:t>
      </w:r>
      <w:r>
        <w:rPr>
          <w:rFonts w:hint="eastAsia" w:ascii="仿宋_GB2312" w:eastAsia="仿宋_GB2312"/>
          <w:color w:val="auto"/>
          <w:sz w:val="32"/>
          <w:szCs w:val="32"/>
        </w:rPr>
        <w:t>部门依据《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安全生产法</w:t>
      </w:r>
      <w:r>
        <w:rPr>
          <w:rFonts w:hint="eastAsia" w:ascii="仿宋_GB2312" w:eastAsia="仿宋_GB2312"/>
          <w:color w:val="auto"/>
          <w:sz w:val="32"/>
          <w:szCs w:val="32"/>
        </w:rPr>
        <w:t>》相关规定依法处理。</w:t>
      </w:r>
    </w:p>
    <w:p>
      <w:pPr>
        <w:spacing w:after="0" w:line="600" w:lineRule="exact"/>
        <w:ind w:firstLine="640" w:firstLineChars="20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color w:val="auto"/>
          <w:sz w:val="32"/>
          <w:szCs w:val="32"/>
        </w:rPr>
        <w:t>十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color w:val="auto"/>
          <w:sz w:val="32"/>
          <w:szCs w:val="32"/>
        </w:rPr>
        <w:t>条</w:t>
      </w:r>
      <w:r>
        <w:rPr>
          <w:rFonts w:ascii="仿宋_GB2312" w:hAnsi="黑体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黄山市交通运输局负责本办法解释。</w:t>
      </w:r>
      <w:r>
        <w:rPr>
          <w:rFonts w:ascii="仿宋_GB2312" w:eastAsia="仿宋_GB2312"/>
          <w:color w:val="auto"/>
          <w:sz w:val="32"/>
          <w:szCs w:val="32"/>
        </w:rPr>
        <w:t xml:space="preserve"> </w:t>
      </w:r>
    </w:p>
    <w:p>
      <w:pPr>
        <w:spacing w:after="0" w:line="600" w:lineRule="exact"/>
        <w:ind w:firstLine="640" w:firstLineChars="200"/>
        <w:rPr>
          <w:rFonts w:ascii="仿宋_GB2312" w:hAnsi="黑体" w:eastAsia="仿宋_GB2312"/>
          <w:color w:val="auto"/>
          <w:sz w:val="32"/>
          <w:szCs w:val="32"/>
        </w:r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  <w:r>
        <w:rPr>
          <w:rFonts w:hint="eastAsia" w:ascii="黑体" w:hAnsi="黑体" w:eastAsia="黑体"/>
          <w:color w:val="auto"/>
          <w:sz w:val="32"/>
          <w:szCs w:val="32"/>
        </w:rPr>
        <w:t>第二十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color w:val="auto"/>
          <w:sz w:val="32"/>
          <w:szCs w:val="32"/>
        </w:rPr>
        <w:t>条</w:t>
      </w:r>
      <w:r>
        <w:rPr>
          <w:rFonts w:ascii="黑体" w:hAnsi="黑体" w:eastAsia="黑体"/>
          <w:color w:val="auto"/>
          <w:sz w:val="32"/>
          <w:szCs w:val="32"/>
        </w:rPr>
        <w:t xml:space="preserve">  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本办法自公布之日起施行。</w:t>
      </w:r>
    </w:p>
    <w:p>
      <w:pPr>
        <w:spacing w:after="0" w:line="600" w:lineRule="exac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>2</w:t>
      </w:r>
    </w:p>
    <w:p>
      <w:pPr>
        <w:spacing w:after="0" w:line="60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</w:p>
    <w:p>
      <w:pPr>
        <w:spacing w:after="0"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黄山市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危险货物道路运输</w:t>
      </w:r>
      <w:r>
        <w:rPr>
          <w:rFonts w:hint="eastAsia" w:ascii="方正小标宋简体" w:eastAsia="方正小标宋简体"/>
          <w:color w:val="auto"/>
          <w:sz w:val="44"/>
          <w:szCs w:val="44"/>
        </w:rPr>
        <w:t>企业信用考核</w:t>
      </w:r>
    </w:p>
    <w:p>
      <w:pPr>
        <w:spacing w:after="0" w:line="60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计分标准（暂行）</w:t>
      </w:r>
    </w:p>
    <w:p>
      <w:pPr>
        <w:spacing w:after="0" w:line="600" w:lineRule="exact"/>
        <w:jc w:val="center"/>
        <w:rPr>
          <w:rFonts w:ascii="仿宋_GB2312" w:eastAsia="仿宋_GB2312"/>
          <w:color w:val="auto"/>
          <w:sz w:val="32"/>
          <w:szCs w:val="32"/>
        </w:rPr>
      </w:pPr>
    </w:p>
    <w:tbl>
      <w:tblPr>
        <w:tblStyle w:val="4"/>
        <w:tblW w:w="981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425"/>
        <w:gridCol w:w="992"/>
        <w:gridCol w:w="3119"/>
        <w:gridCol w:w="698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考核项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分值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评分标准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得分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7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设施设备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分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     </w:t>
            </w:r>
          </w:p>
        </w:tc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固定办公场所。不少于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0m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大于等于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 xml:space="preserve">0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㎡，得满分；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㎡≤面积＜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 xml:space="preserve">0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㎡，得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分；小于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 xml:space="preserve">40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㎡，得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分。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办公场所、专用停车场，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无房产证或无企业签订的房屋、土地使用权租用合同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本大项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不得分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 xml:space="preserve">     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2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/>
              <w:snapToGrid/>
              <w:spacing w:after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与经营规模相适应的停车场。运输剧毒化学品、爆炸品专用车辆以及罐式专用车辆，数量为20辆（含）以下的，停车场地面积不低于车辆正投影面积的1.5倍，数量为20辆以上的，超过部分，每辆车的停车场地面积不低于车辆正投影面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adjustRightInd/>
              <w:snapToGrid/>
              <w:spacing w:after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运输其他危险货物的，专用车辆数量为10辆（含）以下的，停车场地面积不低于车辆正投影面积的1.5倍；数量为10辆以上的，超过部分，每辆车的停车场地面积不低于车辆正投影面积。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运输剧毒化学品、爆炸品专用车辆以及罐式专用车辆，数量为20辆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；运输其他危险货物的，专用车辆数量为10辆。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停车场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地面积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等于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车辆正投影面积的1.5倍，得满分；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小于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车辆正投影面积的1.5倍，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本小项得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分。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8" w:hRule="atLeas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运输剧毒化学品、爆炸品专用车辆以及罐式专用车辆，数量为20辆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以上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；运输其他危险货物的，专用车辆数量为10辆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以上，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超过部分，每辆车的停车场地面积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大于、等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于车辆正投影面积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的，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得满分；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0.8倍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≤面积＜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，得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分；小于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0.8倍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，得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分。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2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3.建立健全专用停车场管理制度，落实专职管理人员；按照规范要求配备消防、应急设施设备，安装视频监控设备并且确保运转正常。</w:t>
            </w:r>
          </w:p>
        </w:tc>
        <w:tc>
          <w:tcPr>
            <w:tcW w:w="992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未建立专用停车场管理制度的，扣2分；未落实专职管理人员的扣1分，未安装视频监控的，扣2分，视频监控工作不正常的扣1分；专用消防、应急设备配备不符合要求的酌情扣1-3分。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74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经营行为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分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组织机构健全，设有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运输组织调度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车辆动态监控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、财务等管理机构，并有专人负责。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提供相关文件、证明材料，无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组织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机构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无专人负责或有机构无专人负责的，每缺一项扣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分，无机构但有专人负责的每缺一个扣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分，扣完为止。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实现公司化经营。车辆运行统一调度、统一结算，驾驶员合法聘用、统一管理。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查每台车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运行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记录、结算单和驾驶员劳务合同和社保金缴纳凭据。无以上材料的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或未实行统一管理、统一结算的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，每台车扣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分，扣完为止。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电子运单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使用情况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采取日常检查与考核现场抽查相结合：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日常检查以每季度每个企业车辆总数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30%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的比例进行随机抽取（不足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台的按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台抽取）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对抽取车辆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实时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运行轨迹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与电子运单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比对，违规一次扣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分；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 xml:space="preserve">                                               2.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现场考核抽查以现场按照企业车辆总数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30%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比例进行随机抽取（不足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台的按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台抽取）比对抽取车辆历史运行轨迹是否与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电子运单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一致，违规一次扣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分；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3.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运输与电子运单不符的货物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。被公安、交通执法部门查实有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运输与电子运单不符的货物的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行为，采取阶梯式、累加扣分。查实第一起扣2分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;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查实第二起扣4分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;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查实第三起扣6分，查实第四起的扣8分，查实第五起及以上的，每起扣10分，“经营行为”大项分值扣完为止。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本项作为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级及以上等级评定必备项，查实企业一起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运输与电子运单不符的货物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行为的，企业本周期内信用等级不得评为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AA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等级。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运输与电子运单不符的货物的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行为阶梯式累加扣分方法计算以企业违规经营次数为基础，每起单独扣分，扣分依据评分标准阶梯式递进，且互相累加。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 xml:space="preserve">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74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安全管理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分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        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安全生产管理制度健全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每缺一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项扣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分，扣完为止。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 xml:space="preserve">                              1.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有健全的安全生产管理制度、安全生产操作规程、安全生产责任制、安全生产监督检查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制度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隐患排查制度、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驾驶员和车辆安全生产管理的制度及落实情况。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 xml:space="preserve">                                   2.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有明确的企业主要负责人和安全管理人员，并且全部通过“两类关键人员”考核</w:t>
            </w:r>
          </w:p>
          <w:p>
            <w:pPr>
              <w:numPr>
                <w:ilvl w:val="0"/>
                <w:numId w:val="1"/>
              </w:numPr>
              <w:adjustRightInd/>
              <w:snapToGrid/>
              <w:spacing w:after="0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各项安全管理制度、突发公共事件的道路运输应急预案的制度及落实情况。</w:t>
            </w:r>
          </w:p>
          <w:p>
            <w:pPr>
              <w:numPr>
                <w:ilvl w:val="0"/>
                <w:numId w:val="1"/>
              </w:numPr>
              <w:adjustRightInd/>
              <w:snapToGrid/>
              <w:spacing w:after="0"/>
              <w:ind w:left="0" w:leftChars="0" w:firstLine="0" w:firstLineChars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企业安全生产经费提取、使用等是否建立台账、专款专用。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政府管理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部门工作衔接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adjustRightInd/>
              <w:snapToGrid/>
              <w:spacing w:after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未按要求出席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部门召集的会议或培训的，每次扣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分；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 xml:space="preserve">                                           2.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未按规定时间和要求提交材料，或提交材料不齐全的，每次扣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分。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5" w:hRule="atLeas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车辆管理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以下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每发现一处不合规扣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分，单项最高扣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分：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1.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“一车一档”情况；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 xml:space="preserve">                           2.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营运证未按期年度审验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 xml:space="preserve">                                                                                         3.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车辆维护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计划及执行情况（含出厂合格证）；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 xml:space="preserve">                                                                                 4.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安全隐患排查开展情况和车辆回库检查情况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adjustRightInd/>
              <w:snapToGrid/>
              <w:spacing w:after="0"/>
              <w:ind w:firstLine="480" w:firstLineChars="20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发现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企业使用无《道路运输证》车辆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或不符合安全条件的车辆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进行营运的该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项不得分。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驾驶员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  <w:t>、押运员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管理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以下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每发现一处不合规扣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分，单项最高扣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分：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 xml:space="preserve">                         1.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正式上岗前对驾驶员、押运员开展岗前培训，并且对其进行考核；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定期对驾驶人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  <w:t>、押运员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开展教育培训（每月不少于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次，每次不少于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小时）；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3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驾驶员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  <w:t>、押运员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档案建立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及更新情况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；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4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驾驶员出车“三检”制度落实情况等。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日常监控管理制度落实情况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动态监控人员不在岗的，每核实一起扣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分；上岗未登记的每核实一起扣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分；未发现车辆运营问题的每起扣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分；发现问题未及时处理的，每起扣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分；未落实统计分析制度扣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分；未对违法驾驶信息及处理情况留存的每起扣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分。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6.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车辆上线率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车辆月平均上线率低于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100%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，每低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个百分点扣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扣完为止。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发生交通责任事故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考核周期内，发生交通责任事故致人死亡的，每死一人扣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分，每伤一人扣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分；事故认定主责及以上的，每次加扣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分；事故未上报经核实的，该项不得分；发生交通责任事故致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人以上死亡的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本项不得分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；发生一次死亡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以上的交通责任事故的考核等级为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B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级。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2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车辆违法行为抄告及处理情况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违法违规总起数来源：安全监督管理机关督办件、外省外市公安交警部门、交通部门抄告件及我市交通运输执法部门行政处罚案件数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；违法违规总起数除以企业车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台数，每一个百分点扣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本项扣完为止。</w:t>
            </w:r>
          </w:p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车辆总数小于等于10台的，每起违章扣2分，扣完为止。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违法违规案件处理率：考核周期内按期处理案件数除以违法违规总起数；处理率为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100%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的得满分，每降低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个百分点扣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分。</w:t>
            </w:r>
          </w:p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车辆总数小于等于10台的，每起违章未处理扣1分，扣完为止。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伪造、篡改、删除车辆动态监控数据；恶意屏蔽卫星定位装置信号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发现一起，本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项不得分。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并且考核等级不得高于C级。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10.安全生产标准化建设情况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安全生产标准化未达标、或者到期未及时复评的，本大项不得分。并且考核等级不得高于C级。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11.因运输介质泄露而引起的环境污染事件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因运输介质泄露而引起的环境污染事件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发现一起，本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项不得分。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并且考核等级不得高于C级。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7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服务质量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分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车容车貌；驾驶人服务质量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车容车貌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整洁、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卫生，安全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应急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齐全，灭火器有效；驾驶人着装整洁、举止文明，有一项不符合要求扣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分（现场与日常检查相结合）。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企业车辆应在车辆外部适当位置喷印企业名称或者标识，交通运输服务监督电话等信息。相关政策落实不到位的，核实一起该小项不得分。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企业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因经营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等原因造成企业员工上访的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考核周期内有企业因经营等原因造成上访的，每次扣0.5分，扣完为止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  <w:p>
            <w:pPr>
              <w:adjustRightInd/>
              <w:snapToGrid/>
              <w:spacing w:after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加分项目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分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考核周期内获得市级以上荣誉称号，或企业员工因优秀事迹获得市级以上表彰或主流媒体宣传的；圆满完成县级以上人民政府、交通主管部门或道路运输管理机构指令性应急运输任务的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需提供荣誉证书复印件等相关证明材料，加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分。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572F0F"/>
    <w:multiLevelType w:val="singleLevel"/>
    <w:tmpl w:val="AE572F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11227CD"/>
    <w:multiLevelType w:val="singleLevel"/>
    <w:tmpl w:val="F11227C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90DBB"/>
    <w:rsid w:val="02F9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2021-12-27T08:34:00Z</dcterms:created>
  <dc:creator>Administrator</dc:creator>
  <cp:lastModifiedBy>Administrator</cp:lastModifiedBy>
  <dcterms:modified xsi:type="dcterms:W3CDTF">2021-12-27T08:35:25Z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72574119AF3B4A03AD1FB23273E8C694</vt:lpwstr>
  </property>
</Properties>
</file>