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shd w:val="clear" w:color="auto" w:fill="auto"/>
        </w:rPr>
        <w:t xml:space="preserve">安徽省交通运输厅 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</w:rPr>
        <w:t>安徽省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  <w:lang w:eastAsia="zh-CN"/>
        </w:rPr>
        <w:t>发展改革委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  <w:lang w:eastAsia="zh-CN"/>
        </w:rPr>
        <w:t>安徽省财政厅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优化调整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安徽省高速公路差异化收费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政策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各市（省直管县、市）交通运输局、发展改革委、财政局，省交通运输综合执法监督局，省交通控股集团公司、省港航集团公司，其他高速公路经营单位：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现将优化调整后的安徽省高速公路差异化收费政策印发给你们，请结合实际，认真组织实施。今后如有新的规定，按新规定执行。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安徽省高速公路差异化收费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安徽省交通运输厅 安徽省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安徽省财政厅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安徽省高速公路差异化收费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货车安徽交通卡支付差异化收费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采用分车型（类）差异化收费与分支付方式差异化收费结合的方式，全省高速公路对安徽交通卡ETC套装货运车辆支付通行费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给予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八五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折优惠。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邮政公益性运邮车辆差异化收费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采用分车型（类）差异化收费、分出入口差异化收费相结合的方式，全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省高速公路对符合条件的邮政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运邮车辆在规定的收费站点通行免收车辆通行费。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长江公路大桥公交专线车辆差异化收费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采用分车型（类）差异化收费、分路段差异化收费相结合的方式，对通行安庆、池州、马鞍山长江公路大桥的公交专线车辆通行费给予优惠，收费标准为每车次10元。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合肥新桥机场高速公路差异化收费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采用分路段差异化收费的方式，对通行合肥新桥机场高速公路的车辆免收车辆通行费。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我省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主要港口和中欧亚班列集装箱运输车辆差异化收费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、分出入口差异化收费相结合的方式，全省高速公路对进出合肥港、芜湖港、蚌埠港、安庆港、马鞍山港、宣城国际陆港和合肥国际陆港（服务中欧、中亚班列）的合法装载ETC套装集装箱运输车辆，在规定的收费站点按批复收费标准的50%收取通行费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具体实施细则由省交通运输厅制定。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安徽省高速公路客运班线车辆差异化收费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对每月通行次数在30次（含）以上的安徽交通卡ETC套装公路客运班线客车，给予省内高速公路实际通行费八五折优惠。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F6DBD"/>
    <w:multiLevelType w:val="singleLevel"/>
    <w:tmpl w:val="544F6D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5DE4"/>
    <w:rsid w:val="02EF0F38"/>
    <w:rsid w:val="04524BB9"/>
    <w:rsid w:val="0B06382B"/>
    <w:rsid w:val="0CCA0CA1"/>
    <w:rsid w:val="0D694555"/>
    <w:rsid w:val="0E612F1A"/>
    <w:rsid w:val="103402D3"/>
    <w:rsid w:val="113B73B3"/>
    <w:rsid w:val="141276FB"/>
    <w:rsid w:val="16CD72BA"/>
    <w:rsid w:val="18A75C26"/>
    <w:rsid w:val="22A038F5"/>
    <w:rsid w:val="23E70B18"/>
    <w:rsid w:val="241F3B89"/>
    <w:rsid w:val="254D684E"/>
    <w:rsid w:val="2B3334BF"/>
    <w:rsid w:val="2EE668F2"/>
    <w:rsid w:val="2F71608F"/>
    <w:rsid w:val="32F73E17"/>
    <w:rsid w:val="34B42B88"/>
    <w:rsid w:val="369C40EF"/>
    <w:rsid w:val="370E2B1C"/>
    <w:rsid w:val="37CC4443"/>
    <w:rsid w:val="384D57A3"/>
    <w:rsid w:val="39A36FCA"/>
    <w:rsid w:val="39B40041"/>
    <w:rsid w:val="3A334A61"/>
    <w:rsid w:val="3BA367DE"/>
    <w:rsid w:val="3E2729EA"/>
    <w:rsid w:val="3F5C1D63"/>
    <w:rsid w:val="3FD1052E"/>
    <w:rsid w:val="43E73780"/>
    <w:rsid w:val="44D7229A"/>
    <w:rsid w:val="49DF256A"/>
    <w:rsid w:val="4A7676B7"/>
    <w:rsid w:val="4BBE3FB1"/>
    <w:rsid w:val="51A3633B"/>
    <w:rsid w:val="53E32508"/>
    <w:rsid w:val="57072CCC"/>
    <w:rsid w:val="581D38C5"/>
    <w:rsid w:val="58933BFD"/>
    <w:rsid w:val="59533A3F"/>
    <w:rsid w:val="5C702C36"/>
    <w:rsid w:val="618048E4"/>
    <w:rsid w:val="649D625A"/>
    <w:rsid w:val="65AC0227"/>
    <w:rsid w:val="65C77A1F"/>
    <w:rsid w:val="68BC674F"/>
    <w:rsid w:val="6A9360C8"/>
    <w:rsid w:val="6F802DED"/>
    <w:rsid w:val="701D1219"/>
    <w:rsid w:val="703D3ADD"/>
    <w:rsid w:val="735233EB"/>
    <w:rsid w:val="748D5C36"/>
    <w:rsid w:val="757F51BF"/>
    <w:rsid w:val="77FD33DA"/>
    <w:rsid w:val="788D7DC9"/>
    <w:rsid w:val="789527FB"/>
    <w:rsid w:val="790F2A72"/>
    <w:rsid w:val="7C2A5BF9"/>
    <w:rsid w:val="7E0F0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宋体" w:hAnsi="宋体" w:eastAsia="宋体"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iezii</cp:lastModifiedBy>
  <cp:lastPrinted>2024-01-03T02:50:00Z</cp:lastPrinted>
  <dcterms:modified xsi:type="dcterms:W3CDTF">2024-02-19T08:38:31Z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96D3F8FFAD744905A196B458224FE371_13</vt:lpwstr>
  </property>
</Properties>
</file>